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B2C" w:rsidRPr="00AD7D00" w:rsidRDefault="00B454B1" w:rsidP="00AD7D00">
      <w:pPr>
        <w:spacing w:after="0"/>
        <w:jc w:val="center"/>
        <w:rPr>
          <w:rFonts w:ascii="Times New Roman" w:hAnsi="Times New Roman" w:cs="Times New Roman"/>
          <w:sz w:val="32"/>
          <w:lang w:val="ru-RU"/>
        </w:rPr>
      </w:pPr>
      <w:r w:rsidRPr="00AD7D00">
        <w:rPr>
          <w:rFonts w:ascii="Times New Roman" w:hAnsi="Times New Roman" w:cs="Times New Roman"/>
          <w:b/>
          <w:color w:val="000000"/>
          <w:sz w:val="32"/>
          <w:lang w:val="ru-RU"/>
        </w:rPr>
        <w:t>Об утверждении Государственной программы "Цифровой Казахстан"</w:t>
      </w:r>
    </w:p>
    <w:p w:rsidR="00CD1B2C" w:rsidRPr="00540BEB" w:rsidRDefault="00B454B1" w:rsidP="00540BEB">
      <w:pPr>
        <w:spacing w:after="0"/>
        <w:jc w:val="both"/>
        <w:rPr>
          <w:rFonts w:ascii="Times New Roman" w:hAnsi="Times New Roman" w:cs="Times New Roman"/>
          <w:i/>
          <w:lang w:val="ru-RU"/>
        </w:rPr>
      </w:pPr>
      <w:r w:rsidRPr="00540BEB">
        <w:rPr>
          <w:rFonts w:ascii="Times New Roman" w:hAnsi="Times New Roman" w:cs="Times New Roman"/>
          <w:i/>
          <w:color w:val="000000"/>
          <w:sz w:val="20"/>
          <w:lang w:val="ru-RU"/>
        </w:rPr>
        <w:t>Постановление Правительства Республики Казахстан от 12 декабря 2017 года № 827.</w:t>
      </w:r>
    </w:p>
    <w:p w:rsidR="00540BEB" w:rsidRDefault="00540BEB" w:rsidP="00540BEB">
      <w:pPr>
        <w:spacing w:after="0"/>
        <w:jc w:val="both"/>
        <w:rPr>
          <w:rFonts w:ascii="Times New Roman" w:hAnsi="Times New Roman" w:cs="Times New Roman"/>
          <w:color w:val="000000"/>
          <w:sz w:val="20"/>
          <w:lang w:val="ru-RU"/>
        </w:rPr>
      </w:pPr>
    </w:p>
    <w:p w:rsidR="00CD1B2C" w:rsidRPr="00AD7D00" w:rsidRDefault="00B454B1" w:rsidP="00540BEB">
      <w:pPr>
        <w:spacing w:after="0"/>
        <w:jc w:val="both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>Правительство Республики Казахстан</w:t>
      </w:r>
      <w:r w:rsidRPr="00AD7D00">
        <w:rPr>
          <w:rFonts w:ascii="Times New Roman" w:hAnsi="Times New Roman" w:cs="Times New Roman"/>
          <w:b/>
          <w:color w:val="000000"/>
          <w:sz w:val="20"/>
          <w:lang w:val="ru-RU"/>
        </w:rPr>
        <w:t xml:space="preserve"> ПОСТАНОВЛЯЕТ:</w:t>
      </w:r>
    </w:p>
    <w:p w:rsidR="00CD1B2C" w:rsidRPr="00AD7D00" w:rsidRDefault="00B454B1" w:rsidP="00540BEB">
      <w:pPr>
        <w:spacing w:after="0"/>
        <w:jc w:val="both"/>
        <w:rPr>
          <w:rFonts w:ascii="Times New Roman" w:hAnsi="Times New Roman" w:cs="Times New Roman"/>
          <w:lang w:val="ru-RU"/>
        </w:rPr>
      </w:pPr>
      <w:bookmarkStart w:id="0" w:name="z0"/>
      <w:r w:rsidRPr="00AD7D00">
        <w:rPr>
          <w:rFonts w:ascii="Times New Roman" w:hAnsi="Times New Roman" w:cs="Times New Roman"/>
          <w:color w:val="000000"/>
          <w:sz w:val="20"/>
          <w:lang w:val="ru-RU"/>
        </w:rPr>
        <w:t>1. Утвердить прилагаемую Государственную программу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"Цифровой Казахстан" (далее – Программа).</w:t>
      </w:r>
    </w:p>
    <w:p w:rsidR="00CD1B2C" w:rsidRPr="00AD7D00" w:rsidRDefault="00B454B1" w:rsidP="00540BEB">
      <w:pPr>
        <w:spacing w:after="0"/>
        <w:jc w:val="both"/>
        <w:rPr>
          <w:rFonts w:ascii="Times New Roman" w:hAnsi="Times New Roman" w:cs="Times New Roman"/>
          <w:lang w:val="ru-RU"/>
        </w:rPr>
      </w:pPr>
      <w:bookmarkStart w:id="1" w:name="z1"/>
      <w:bookmarkEnd w:id="0"/>
      <w:r w:rsidRPr="00AD7D00">
        <w:rPr>
          <w:rFonts w:ascii="Times New Roman" w:hAnsi="Times New Roman" w:cs="Times New Roman"/>
          <w:color w:val="000000"/>
          <w:sz w:val="20"/>
          <w:lang w:val="ru-RU"/>
        </w:rPr>
        <w:t>2. Министерству информации и коммуникаций Республики Казахстан представлять в Министерство национальной экономики Республики Казахстан информацию о ходе исполнения Программы в порядке и сроки, установленные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постановлением Правительства Республики Казахстан от 29 ноября 2017 года № 790 "Об утверждении Системы государственного планирования в Республике Казахстан".</w:t>
      </w:r>
    </w:p>
    <w:p w:rsidR="00CD1B2C" w:rsidRPr="00AD7D00" w:rsidRDefault="00B454B1" w:rsidP="00540BEB">
      <w:pPr>
        <w:spacing w:after="0"/>
        <w:jc w:val="both"/>
        <w:rPr>
          <w:rFonts w:ascii="Times New Roman" w:hAnsi="Times New Roman" w:cs="Times New Roman"/>
          <w:lang w:val="ru-RU"/>
        </w:rPr>
      </w:pPr>
      <w:bookmarkStart w:id="2" w:name="z2"/>
      <w:bookmarkEnd w:id="1"/>
      <w:r w:rsidRPr="00AD7D00">
        <w:rPr>
          <w:rFonts w:ascii="Times New Roman" w:hAnsi="Times New Roman" w:cs="Times New Roman"/>
          <w:color w:val="000000"/>
          <w:sz w:val="20"/>
          <w:lang w:val="ru-RU"/>
        </w:rPr>
        <w:t>3. Центральным и местным исполнительным органам, а также государственным органам, непосред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ственно подчиненным и подотчетным Президенту Республики Казахстан, принять меры по реализации Программы. </w:t>
      </w:r>
    </w:p>
    <w:p w:rsidR="00CD1B2C" w:rsidRPr="00AD7D00" w:rsidRDefault="00B454B1" w:rsidP="00540BEB">
      <w:pPr>
        <w:spacing w:after="0"/>
        <w:jc w:val="both"/>
        <w:rPr>
          <w:rFonts w:ascii="Times New Roman" w:hAnsi="Times New Roman" w:cs="Times New Roman"/>
          <w:lang w:val="ru-RU"/>
        </w:rPr>
      </w:pPr>
      <w:bookmarkStart w:id="3" w:name="z3"/>
      <w:bookmarkEnd w:id="2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4.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Контроль за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исполнением настоящего постановления возложить на Министерство информации и коммуникаций Республики Казахстан.</w:t>
      </w:r>
    </w:p>
    <w:p w:rsidR="00CD1B2C" w:rsidRDefault="00B454B1" w:rsidP="00540BEB">
      <w:pPr>
        <w:spacing w:after="0"/>
        <w:jc w:val="both"/>
        <w:rPr>
          <w:rFonts w:ascii="Times New Roman" w:hAnsi="Times New Roman" w:cs="Times New Roman"/>
          <w:color w:val="000000"/>
          <w:sz w:val="20"/>
          <w:lang w:val="ru-RU"/>
        </w:rPr>
      </w:pPr>
      <w:bookmarkStart w:id="4" w:name="z4"/>
      <w:bookmarkEnd w:id="3"/>
      <w:r w:rsidRPr="00AD7D00">
        <w:rPr>
          <w:rFonts w:ascii="Times New Roman" w:hAnsi="Times New Roman" w:cs="Times New Roman"/>
          <w:color w:val="000000"/>
          <w:sz w:val="20"/>
          <w:lang w:val="ru-RU"/>
        </w:rPr>
        <w:t>5. Настоящее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постановление вводится в действие со дня его подписания.</w:t>
      </w:r>
    </w:p>
    <w:p w:rsidR="00B454B1" w:rsidRPr="00AD7D00" w:rsidRDefault="00B454B1" w:rsidP="00540BEB">
      <w:pPr>
        <w:spacing w:after="0"/>
        <w:jc w:val="both"/>
        <w:rPr>
          <w:rFonts w:ascii="Times New Roman" w:hAnsi="Times New Roman" w:cs="Times New Roman"/>
          <w:lang w:val="ru-RU"/>
        </w:rPr>
      </w:pPr>
      <w:bookmarkStart w:id="5" w:name="_GoBack"/>
      <w:bookmarkEnd w:id="5"/>
    </w:p>
    <w:tbl>
      <w:tblPr>
        <w:tblW w:w="0" w:type="auto"/>
        <w:tblCellSpacing w:w="0" w:type="nil"/>
        <w:tblInd w:w="115" w:type="dxa"/>
        <w:tblLook w:val="04A0" w:firstRow="1" w:lastRow="0" w:firstColumn="1" w:lastColumn="0" w:noHBand="0" w:noVBand="1"/>
      </w:tblPr>
      <w:tblGrid>
        <w:gridCol w:w="5925"/>
        <w:gridCol w:w="3436"/>
        <w:gridCol w:w="301"/>
      </w:tblGrid>
      <w:tr w:rsidR="00CD1B2C" w:rsidRPr="00AD7D00" w:rsidTr="00AD7D00">
        <w:trPr>
          <w:gridAfter w:val="1"/>
          <w:wAfter w:w="406" w:type="dxa"/>
          <w:trHeight w:val="30"/>
          <w:tblCellSpacing w:w="0" w:type="nil"/>
        </w:trPr>
        <w:tc>
          <w:tcPr>
            <w:tcW w:w="77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"/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i/>
                <w:color w:val="000000"/>
                <w:sz w:val="20"/>
              </w:rPr>
              <w:t>     </w:t>
            </w:r>
            <w:r w:rsidRPr="00AD7D00">
              <w:rPr>
                <w:rFonts w:ascii="Times New Roman" w:hAnsi="Times New Roman" w:cs="Times New Roman"/>
                <w:i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Премьер-Министр </w:t>
            </w:r>
            <w:r w:rsidRPr="00AD7D00">
              <w:rPr>
                <w:rFonts w:ascii="Times New Roman" w:hAnsi="Times New Roman" w:cs="Times New Roman"/>
              </w:rPr>
              <w:br/>
            </w:r>
            <w:r w:rsidRPr="00AD7D00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Республики Казахстан </w:t>
            </w:r>
          </w:p>
        </w:tc>
        <w:tc>
          <w:tcPr>
            <w:tcW w:w="42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i/>
                <w:color w:val="000000"/>
                <w:sz w:val="20"/>
              </w:rPr>
              <w:t>Б. Сагинтаев</w:t>
            </w:r>
          </w:p>
        </w:tc>
      </w:tr>
      <w:tr w:rsidR="00CD1B2C" w:rsidRPr="00AD7D00" w:rsidTr="00AD7D00">
        <w:trPr>
          <w:trHeight w:val="30"/>
          <w:tblCellSpacing w:w="0" w:type="nil"/>
        </w:trPr>
        <w:tc>
          <w:tcPr>
            <w:tcW w:w="7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1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УТВЕРЖДЕНА</w:t>
            </w:r>
            <w:proofErr w:type="gramEnd"/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постановлением Правительства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Республики Казахстан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от 12 декабря 2017 года № 827</w:t>
            </w:r>
          </w:p>
        </w:tc>
      </w:tr>
    </w:tbl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bookmarkStart w:id="6" w:name="z5"/>
      <w:r w:rsidRPr="00AD7D00">
        <w:rPr>
          <w:rFonts w:ascii="Times New Roman" w:hAnsi="Times New Roman" w:cs="Times New Roman"/>
          <w:b/>
          <w:color w:val="000000"/>
          <w:lang w:val="ru-RU"/>
        </w:rPr>
        <w:t xml:space="preserve"> Государственная Программа "Цифровой Казахстан"</w:t>
      </w:r>
    </w:p>
    <w:bookmarkEnd w:id="6"/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1. Паспорт Программы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2. Введение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2.1. Резюме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2.2. Глобальные тренды цифровизации и международный опыт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3. Анализ текущей ситуации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3.1. Цифровые преобразования в отраслях эко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номики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3.2. Цифровизация деятельности государственных органов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3.3. Развитие цифровой инфраструктуры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3.4. Развитие человеческого капитала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3.5. Инновационная экосистема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4. Цели, задачи, целевые индикаторы и показатели результато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в реализации Программы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5. Основные направления, пути достижения поставленных целей Программы и соответствующие меры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5.1. Цифровизация отраслей экономики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5.2. Переход на цифровое государство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5.3. Реализация цифрового шелкового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пути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5.4. Развитие человеческого капитала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5.5. Создание инновационной экосистемы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5.6. Система управления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6. Необходимые ресурсы</w:t>
      </w:r>
    </w:p>
    <w:p w:rsidR="00CD1B2C" w:rsidRPr="00AD7D00" w:rsidRDefault="00B454B1">
      <w:pPr>
        <w:spacing w:after="0"/>
        <w:rPr>
          <w:rFonts w:ascii="Times New Roman" w:hAnsi="Times New Roman" w:cs="Times New Roman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Глоссарий</w:t>
      </w:r>
    </w:p>
    <w:p w:rsidR="00CD1B2C" w:rsidRPr="00AD7D00" w:rsidRDefault="00CD1B2C">
      <w:pPr>
        <w:spacing w:after="0"/>
        <w:rPr>
          <w:rFonts w:ascii="Times New Roman" w:hAnsi="Times New Roman" w:cs="Times New Roman"/>
        </w:rPr>
      </w:pPr>
    </w:p>
    <w:p w:rsidR="00CD1B2C" w:rsidRPr="00AD7D00" w:rsidRDefault="00B454B1">
      <w:pPr>
        <w:spacing w:after="0"/>
        <w:rPr>
          <w:rFonts w:ascii="Times New Roman" w:hAnsi="Times New Roman" w:cs="Times New Roman"/>
        </w:rPr>
      </w:pPr>
      <w:r w:rsidRPr="00AD7D00">
        <w:rPr>
          <w:rFonts w:ascii="Times New Roman" w:hAnsi="Times New Roman" w:cs="Times New Roman"/>
          <w:b/>
          <w:color w:val="000000"/>
          <w:sz w:val="20"/>
        </w:rPr>
        <w:t xml:space="preserve">1.Паспорт Программы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638"/>
        <w:gridCol w:w="8024"/>
      </w:tblGrid>
      <w:tr w:rsidR="00CD1B2C" w:rsidRPr="00AD7D00">
        <w:trPr>
          <w:trHeight w:val="30"/>
          <w:tblCellSpacing w:w="0" w:type="auto"/>
        </w:trPr>
        <w:tc>
          <w:tcPr>
            <w:tcW w:w="1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Наименование Программы</w:t>
            </w:r>
          </w:p>
        </w:tc>
        <w:tc>
          <w:tcPr>
            <w:tcW w:w="106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Государственная программа "Цифровой Казахстан" 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1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Основание для разработки</w:t>
            </w:r>
          </w:p>
        </w:tc>
        <w:tc>
          <w:tcPr>
            <w:tcW w:w="106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Послание Президента Республики Казахстан "Третья модернизация Казахстана: глобальная конкурентоспособность" от 31 января 2017 года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1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Государственный орган, ответственный за разработку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Программы</w:t>
            </w:r>
          </w:p>
        </w:tc>
        <w:tc>
          <w:tcPr>
            <w:tcW w:w="106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Министерство информации и коммуникаций Республики Казахстан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1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Государственные органы и организации, ответственные за реализацию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Программы</w:t>
            </w:r>
          </w:p>
        </w:tc>
        <w:tc>
          <w:tcPr>
            <w:tcW w:w="106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Центральные и местные исполнительные органы, государственные органы, непосредственно подчиненные и подотчетн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ые Президенту Республики Казахстан, субъекты квазигосударственного сектора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1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Цель Программы</w:t>
            </w:r>
          </w:p>
        </w:tc>
        <w:tc>
          <w:tcPr>
            <w:tcW w:w="106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Ускорение темпов развития экономики республики и улучшение качества жизни населения за счет использования цифровых технологий в среднесрочной перспективе, а также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создание условий для перехода экономики Казахстана на принципиально новую траекторию развития, обеспечивающую создание цифровой экономики будущего в долгосрочной перспективе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1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Задачи Программы</w:t>
            </w:r>
          </w:p>
        </w:tc>
        <w:tc>
          <w:tcPr>
            <w:tcW w:w="106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1. Цифровизация промышленности и электроэнергетики.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2. Цифровиза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ция транспорта и логистики.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3. Цифровизация сельского хозяйства.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4. Развитие электронной торговли.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5. Развитие финансовых технологий и безналичных платежей.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6. Государство – гражданам.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7. Государство – бизнесу.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8. Цифровизация внутренней деятельности госуд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арственных органов.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9. "Умные" города.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10. Расширение покрытия сетей связи и ИКТ инфраструктуры.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11. Обеспечение информационной безопасности в сфере ИКТ.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12. Повышение цифровой грамотности в среднем, техническом и профессиональном, высшем образовании.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13.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Повышение цифровой грамотности населения (подготовка, переподготовка).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14. Поддержка площадок инновационного развития.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15. Развитие технологического предпринимательства, стартап культуры и НИОКР.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16. Привлечение "венчурного" финансирования.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17. Формировани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е спроса на инновации.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1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Сроки реализации</w:t>
            </w:r>
          </w:p>
        </w:tc>
        <w:tc>
          <w:tcPr>
            <w:tcW w:w="106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2018-2022 годы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1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Целевые индикаторы</w:t>
            </w:r>
          </w:p>
        </w:tc>
        <w:tc>
          <w:tcPr>
            <w:tcW w:w="106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Рост производительности труда по секции "Горнодобывающая промышленность и разработка карьеров" в 2022 году - 38,9%.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Рост производительности труда по секции "Транспорт и складирован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ие" в 2022 году - 21,2%.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Рост производительности труда по секции "Сельское, лесное и рыбное хозяйство" в 2022 году - 45,1%.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Рост производительности труда по секции "Обрабатывающая промышленность" в 2022 году - 49,8%.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Доля электронной торговли в общем объем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е розничной торговли в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2022 году - 2,6%.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Рост созданных рабочих мест за счет цифровизации в 2022 году - 300 тыс. человек.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Доля государственных услуг, полученных в электронном виде, от общего объема государственных услуг в 2022 году - 80%.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Доля пользователе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й сети интернет в 2022 году - 82%.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Уровень цифровой грамотности населения в 2022 году - 83%.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Улучшение в рейтинге ГИК ВЭФ по индикатору "Способность к инновациям" в 2022 году - 63 место.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Объем привлеченных инвестиций в стартапы в 2022 году - 67 млрд. тенге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.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Индекс развития информационно-коммуникационных технологий в 2022 году - 30 место.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1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Источники и объемы финансирования</w:t>
            </w:r>
          </w:p>
        </w:tc>
        <w:tc>
          <w:tcPr>
            <w:tcW w:w="106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На реализацию Программы в 2018-2022 годах будут направлены средства бюджета в размере 141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048 387 тыс. тенге*, в том числе: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2018 год -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21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544 099 тыс. тенге*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2019 год – 33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153 045 тыс. тенге*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2020 год – 59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865 614 тыс. тенге*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2021 год – 26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485 629 тыс. тенге*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2022 год - тыс. тенге*,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а также средства из других источников финансирования, не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запрещенных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законодательством Республики Казахста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н. </w:t>
            </w:r>
          </w:p>
        </w:tc>
      </w:tr>
    </w:tbl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b/>
          <w:color w:val="000000"/>
          <w:sz w:val="20"/>
          <w:lang w:val="ru-RU"/>
        </w:rPr>
        <w:t>2. Введение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b/>
          <w:color w:val="000000"/>
          <w:sz w:val="20"/>
          <w:lang w:val="ru-RU"/>
        </w:rPr>
        <w:t xml:space="preserve">2.1. Резюме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Целями государственной программы "Цифровой Казахстан" (далее – Программа) являются </w:t>
      </w:r>
      <w:r w:rsidRPr="00AD7D00">
        <w:rPr>
          <w:rFonts w:ascii="Times New Roman" w:hAnsi="Times New Roman" w:cs="Times New Roman"/>
          <w:b/>
          <w:color w:val="000000"/>
          <w:sz w:val="20"/>
          <w:lang w:val="ru-RU"/>
        </w:rPr>
        <w:t>ускорение темпов развития экономики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Республики Казахстан и улучшение качества жизни населения за счет использования цифровых технологий в среднесрочной перспективе, а также создание условий для перехода экономики Казахстана на </w:t>
      </w:r>
      <w:r w:rsidRPr="00AD7D00">
        <w:rPr>
          <w:rFonts w:ascii="Times New Roman" w:hAnsi="Times New Roman" w:cs="Times New Roman"/>
          <w:b/>
          <w:color w:val="000000"/>
          <w:sz w:val="20"/>
          <w:lang w:val="ru-RU"/>
        </w:rPr>
        <w:t>принципиально новую траекторию развития,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обеспечивающую создание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цифровой экономики будущего в долгосрочной перспективе.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Достижение данной цели подразумевает движение по двум векторам развития: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b/>
          <w:color w:val="000000"/>
          <w:sz w:val="20"/>
          <w:lang w:val="ru-RU"/>
        </w:rPr>
        <w:t xml:space="preserve">"Цифровизация существующей экономики"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- обеспечение прагматичного старта, состоящего из конкретных проектов в реа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льном секторе, запуск проектов по цифровизации и технологическому перевооружению существующих отраслей экономики, государственных структур и развитие цифровой инфраструктуры.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b/>
          <w:color w:val="000000"/>
          <w:sz w:val="20"/>
          <w:lang w:val="ru-RU"/>
        </w:rPr>
        <w:t xml:space="preserve">"Создание цифровой индустрии будущего"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- обеспечение долгосрочной устойчив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ости, запуск цифровой трансформации страны за счет повышения уровня развития человеческого капитала, построения институтов инновационного развития и, в целом, прогрессивного развития цифровой экосистемы.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Программа, которая будет реализована в период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2018-2022 годы, обеспечит дополнительный импульс для технологической модернизации флагманских отраслей страны и сформирует условия для масштабного и долгосрочного роста производительности труда.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Пять основных направлений реализации Программы: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bookmarkStart w:id="7" w:name="z9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1. </w:t>
      </w:r>
      <w:r w:rsidRPr="00AD7D00">
        <w:rPr>
          <w:rFonts w:ascii="Times New Roman" w:hAnsi="Times New Roman" w:cs="Times New Roman"/>
          <w:b/>
          <w:color w:val="000000"/>
          <w:sz w:val="20"/>
          <w:lang w:val="ru-RU"/>
        </w:rPr>
        <w:t>"Цифровизация отраслей экономики"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– направление преобразования традиционных отраслей экономики Республики Казахстан с использованием прорывных технологий и возможностей, которые повысят производительность труда и приведут к росту капитализации.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bookmarkStart w:id="8" w:name="z10"/>
      <w:bookmarkEnd w:id="7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2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. </w:t>
      </w:r>
      <w:r w:rsidRPr="00AD7D00">
        <w:rPr>
          <w:rFonts w:ascii="Times New Roman" w:hAnsi="Times New Roman" w:cs="Times New Roman"/>
          <w:b/>
          <w:color w:val="000000"/>
          <w:sz w:val="20"/>
          <w:lang w:val="ru-RU"/>
        </w:rPr>
        <w:t>"Переход на цифровое государство"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– направление преобразования функций государства как инфраструктуры предоставления услуг населению и бизнесу, предвосхищая его потребности.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bookmarkStart w:id="9" w:name="z11"/>
      <w:bookmarkEnd w:id="8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3. </w:t>
      </w:r>
      <w:r w:rsidRPr="00AD7D00">
        <w:rPr>
          <w:rFonts w:ascii="Times New Roman" w:hAnsi="Times New Roman" w:cs="Times New Roman"/>
          <w:b/>
          <w:color w:val="000000"/>
          <w:sz w:val="20"/>
          <w:lang w:val="ru-RU"/>
        </w:rPr>
        <w:t>"Реализация цифрового Шелкового пути"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– направление развития высокоско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ростной и защищенной инфраструктуры передачи, хранения и обработки данных.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bookmarkStart w:id="10" w:name="z12"/>
      <w:bookmarkEnd w:id="9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4. </w:t>
      </w:r>
      <w:r w:rsidRPr="00AD7D00">
        <w:rPr>
          <w:rFonts w:ascii="Times New Roman" w:hAnsi="Times New Roman" w:cs="Times New Roman"/>
          <w:b/>
          <w:color w:val="000000"/>
          <w:sz w:val="20"/>
          <w:lang w:val="ru-RU"/>
        </w:rPr>
        <w:t>"Развитие человеческого капитала"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- направление преобразований, охватывающее создание так называемого креативного общества для обеспечения перехода к новым реалиям - эконо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мике знаний.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bookmarkStart w:id="11" w:name="z13"/>
      <w:bookmarkEnd w:id="10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5. </w:t>
      </w:r>
      <w:r w:rsidRPr="00AD7D00">
        <w:rPr>
          <w:rFonts w:ascii="Times New Roman" w:hAnsi="Times New Roman" w:cs="Times New Roman"/>
          <w:b/>
          <w:color w:val="000000"/>
          <w:sz w:val="20"/>
          <w:lang w:val="ru-RU"/>
        </w:rPr>
        <w:t>"Создание инновационной экосистемы"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- направление создания условий для развития технологического предпринимательства и инноваций с устойчивыми горизонтальными связями между бизнесом, научной сферой и государством. Государство выступи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т в роли катализатора экосистемы, способного генерировать, адаптировать и внедрять в производство инновации.</w:t>
      </w:r>
    </w:p>
    <w:bookmarkEnd w:id="11"/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В рамках указанных пяти направлений сформированы 17 инициатив и более 100 мероприятий, возврат от реализации которых можно увидеть уже в ближ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айшие годы в явной форме, а также мероприятий, которые формируют основы формирования цифрового сектора как новой отрасли экономики будущего, основной результат от которых придется на следующие десятилетия.</w:t>
      </w:r>
      <w:proofErr w:type="gramEnd"/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Реализация Программы предполагает привлечени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е финансирования в объеме 141 млрд. тенге из средств республиканского бюджета. Также ожидается привлечение более 169 млрд. тенге средств субъектов квазигосударственного сектора.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Бенефициарами реализации Программы станут все население, бизнес и госуда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рственные органы Республики Казахстан, так как она затрагивает все сферы жизнедеятельности и нацелена на повышение уровня жизни каждого жителя государства. Программа приведет к существенным сдвигам в структуре занятости – в частности, к 2022 году будет соз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дано 300 тысяч рабочих мест за счет цифровизации.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Текущий средний уровень цифровизации экономики Казахстана сегодня - не барьер, а возможность совершить качественный рывок в развитии, который позволит стране выйти на передовые позиции на мировой арен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е. Для этого предполагается принятие комплекса мер и системной работы по пяти направлениям, описанным в данной Программе и в рамках мероприятий, приведенных в приложении к ней. Перечень мероприятий будет актуализироваться.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_______________________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</w:t>
      </w:r>
      <w:r w:rsidRPr="00AD7D00">
        <w:rPr>
          <w:rFonts w:ascii="Times New Roman" w:hAnsi="Times New Roman" w:cs="Times New Roman"/>
          <w:color w:val="000000"/>
          <w:sz w:val="20"/>
        </w:rPr>
        <w:t>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vertAlign w:val="superscript"/>
          <w:lang w:val="ru-RU"/>
        </w:rPr>
        <w:t>1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Суммы будут уточняться в соответствии с бюджетом на соответствующий финансовый год.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lang w:val="ru-RU"/>
        </w:rPr>
        <w:br/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b/>
          <w:color w:val="000000"/>
          <w:sz w:val="20"/>
          <w:lang w:val="ru-RU"/>
        </w:rPr>
        <w:t>2.2. Глобальные тренды цифровизации и международный опыт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Сегодня Интернет экономика растет с темпами до 25% в год в развивающихся странах, при этом ни один се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ктор экономики не может даже приблизиться к таким темпам. 90% всех глобальных данных были созданы всего за 2 последних года. Уже 35 млрд. устройств подключены к интернету и осуществляют обмен данными - эта цифра в пять раз превышает общую численность насел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ения мира. Но, вместе с этим Правительства и корпорации тратят почти полтриллиона долларов США ежегодно на противодействие новому, получившему широкое распространение явлению – кибератакам.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Усилия по цифровизации приводят к созданию нового общества,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где активно развивается человеческий капитал – знания и навыки будущего воспитываются с самых юных лет, повышаются эффективность и скорость работы бизнеса за счет автоматизации и других новых технологий, а диалог граждан со своими государствами становится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простым и открытым. Цифровая революция происходит у нас на глазах.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Эти изменения вызваны внедрением за последние годы множества технологических инноваций, применяемых в разных отраслях. Кардинальным образом меняются способы производства и получения д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обавленной стоимости, появляются новые требования к образованию и трудовым навыкам людей. Промышленный интернет вещей формирует будущее производственных отраслей, используя возможности гибкого и умного производства, обеспечивает революционный рост производ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ительности. Искусственный интеллект внедряется, в том числе, в консервативных отраслях, таких как финансовые услуги и медицина. Технология 3</w:t>
      </w:r>
      <w:r w:rsidRPr="00AD7D00">
        <w:rPr>
          <w:rFonts w:ascii="Times New Roman" w:hAnsi="Times New Roman" w:cs="Times New Roman"/>
          <w:color w:val="000000"/>
          <w:sz w:val="20"/>
        </w:rPr>
        <w:t>D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-печати уже сегодня способствует трансформации таких отраслей, как авиация, логистика, биомедицина и автомобильная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промышленность. Блокчейн имеет все предпосылки совершить глобальную трансформацию денежной системы. Большие данные и повсеместная доступность связи являются одними из факторов, на основе которых строится "экономика совместного потребления", распространяюща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яся в глобальных масштабах ускоренными темпами. Компании-лидеры сегмента "совместного потребления при отсутствии физических активов" по размерам капитализации превышают стоимость традиционных компаний с многомиллиардными физическими активами на балансе.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</w:t>
      </w:r>
      <w:r w:rsidRPr="00AD7D00">
        <w:rPr>
          <w:rFonts w:ascii="Times New Roman" w:hAnsi="Times New Roman" w:cs="Times New Roman"/>
          <w:color w:val="000000"/>
          <w:sz w:val="20"/>
        </w:rPr>
        <w:t>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Эти перемены радикальны и происходят за считанные годы и даже месяцы, а не десятилетия, как раньше. Но это только начало, и миру еще предстоит пережить основную массу перемен. Темп изменений нарастает, но еще не поздно быть частью этих изменений.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Процесс цифровизации сегодня затрагивает практически все страны мира. В то же время, каждая страна сама определяет приоритеты цифрового развития. Более 15 стран мира реализуют на текущий момент национальные программы цифровизации. Передовыми странами по ц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ифровизации национальных экономик являются Китай, Сингапур, Новая Зеландия, Южная Корея и Дания.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Китай в своей программе "интернет плюс" интегрирует цифровые индустрии с традиционными, Канада создает ИКТ-хаб в Торонто, Сингапур формирует "Умную экономику",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драйвером которой становится ИКТ, Южная Корея в программе "Креативная экономика" ориентируется на развитие человеческого капитала, предпринимательство и распространение достижений ИКТ, а Дания фокусируется на цифровизации госсектора.</w:t>
      </w:r>
      <w:proofErr w:type="gramEnd"/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этих странах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государство играет ключевую роль в запуске и реализации программы, при этом успех зависит от вовлечения частных игроков - то, что называется "цифровая приватизация". Сегодня мы наблюдаем все больше примеров, когда государства осознанно подталкивают участни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ков экономической системы к цифровому будущему. Государство объявляет своего рода "тендер" на закрытие тех или иных "неэффективностей", идентифицированных как приоритетные. Игроки представляют свои "биды", концепции пилотов и подходы к возможной реализации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проектов. Государство квалифицирует предложения и выбирает победителя по итогам конкурса пилотных проектов. Победитель, как правило, не получает прямых государственных субсидий, но получает право реализовать свой проект "под ключ" (по тому или иному напра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влению, в той или иной отрасли, в том или ином регионе). Государство обеспечивает поддержку в области нормативной базы, синхронизацию и кооперацию с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ключевыми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стейкхолдерами (региональные власти и др.), а также создание стимулов для "цифровизируемых" отрас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лей. Также возможен выбор консорциума победителей, который позволяет снижать риски при реализации, в то же время, поддерживая конкуренцию между 2-3 игроками.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Наиболее ярким примером подхода цифровой приватизации является Сингапур. Так, в 2014 г. госу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дарство инициировало разработку концепции </w:t>
      </w:r>
      <w:r w:rsidRPr="00AD7D00">
        <w:rPr>
          <w:rFonts w:ascii="Times New Roman" w:hAnsi="Times New Roman" w:cs="Times New Roman"/>
          <w:color w:val="000000"/>
          <w:sz w:val="20"/>
        </w:rPr>
        <w:t>Smart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Nation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и пригласило бизнес и экспертное сообщество к сотрудничеству для ее уточнения и реализации. </w:t>
      </w:r>
      <w:proofErr w:type="gramStart"/>
      <w:r w:rsidRPr="00AD7D00">
        <w:rPr>
          <w:rFonts w:ascii="Times New Roman" w:hAnsi="Times New Roman" w:cs="Times New Roman"/>
          <w:color w:val="000000"/>
          <w:sz w:val="20"/>
        </w:rPr>
        <w:t>Smart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Nation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– инициатива государства по повышению качества жизни посредством внедрения цифровизации в повсед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невную жизнь граждан.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Государство сформировало исходный запрос на решение целого ряда задач, которые были определены как первостепенные для запуска основных инициатив в рамках </w:t>
      </w:r>
      <w:r w:rsidRPr="00AD7D00">
        <w:rPr>
          <w:rFonts w:ascii="Times New Roman" w:hAnsi="Times New Roman" w:cs="Times New Roman"/>
          <w:color w:val="000000"/>
          <w:sz w:val="20"/>
        </w:rPr>
        <w:t>Smart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Nation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. Так, одна из ключевых инициатив, определенных изначально, - развит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ие национальной сенсорной сети для построения "умного города". Под каждую из задач государство организовывает тендер для выбора подрядчика на разработку технического решения. Участие в тендере открыто для всех участников, отвечающих требованиям брифинга: т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аким образом, государство обеспечивает фокус не только на крупный бизнес, но и на привлечение малого и среднего бизнеса. Примечательно, что в 2015-2016 гг. более половины контрактов были подписаны с малым и средним бизнесом.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Государство может обеспеч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ить "цифровой скачок" в стране за счет ускоренного развития конкретных технологий. В таких случаях государство принимает на себя роль инвестора, определяющего ключевые, наиболее перспективные направления финансирования, исходя из оценки долгосрочного возвр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ата на инвестиции, конкурентной позиции, трендов, а также вкладывается в фундаментальные условия успеха, такие как образование и переквалификация кадров.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Южной Корее при активной позиции государства опорные компании начинают самостоятельно осуществ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лять инвестиции в прорывные цифровые технологии. Так, один из крупнейших телеком-операторов страны - </w:t>
      </w:r>
      <w:r w:rsidRPr="00AD7D00">
        <w:rPr>
          <w:rFonts w:ascii="Times New Roman" w:hAnsi="Times New Roman" w:cs="Times New Roman"/>
          <w:color w:val="000000"/>
          <w:sz w:val="20"/>
        </w:rPr>
        <w:t>SKT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- обозначил намерения инвестировать в технологии искусственного интеллекта и "интернета вещей" более 4 млрд. долларов США. Оператор отмечает необходимо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сть партне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рств в р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азвитии новых технологий, а также планирует привлечение местных стартапов для разработки точечных решений.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Еще один глобальный тренд – "самоцифровизация государства", т.е. цифровизация операций государства и государственных компани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й. Самоцифровизация - задача, которую необходимо реализовать любому государству, нацеленному на максимизацию создания стоимости в экономике, рост благосостояния, достойное место в рейтингах ведения бизнеса и уровня жизни.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У самоцифровизации на уровне страны существует два ключевых направления: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- Цифровизация государственного управления: цифровой документооборот, принципы </w:t>
      </w:r>
      <w:r w:rsidRPr="00AD7D00">
        <w:rPr>
          <w:rFonts w:ascii="Times New Roman" w:hAnsi="Times New Roman" w:cs="Times New Roman"/>
          <w:color w:val="000000"/>
          <w:sz w:val="20"/>
        </w:rPr>
        <w:t>digital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by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default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и </w:t>
      </w:r>
      <w:r w:rsidRPr="00AD7D00">
        <w:rPr>
          <w:rFonts w:ascii="Times New Roman" w:hAnsi="Times New Roman" w:cs="Times New Roman"/>
          <w:color w:val="000000"/>
          <w:sz w:val="20"/>
        </w:rPr>
        <w:t>digital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first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, пересмотр неэффективных процессов. В этой логике самоц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ифровизация охватывает весь спектр сервисов: внутреннее взаимодействие госструктур – </w:t>
      </w:r>
      <w:r w:rsidRPr="00AD7D00">
        <w:rPr>
          <w:rFonts w:ascii="Times New Roman" w:hAnsi="Times New Roman" w:cs="Times New Roman"/>
          <w:color w:val="000000"/>
          <w:sz w:val="20"/>
        </w:rPr>
        <w:t>G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2</w:t>
      </w:r>
      <w:r w:rsidRPr="00AD7D00">
        <w:rPr>
          <w:rFonts w:ascii="Times New Roman" w:hAnsi="Times New Roman" w:cs="Times New Roman"/>
          <w:color w:val="000000"/>
          <w:sz w:val="20"/>
        </w:rPr>
        <w:t>G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, взаимодействие с гражданами – </w:t>
      </w:r>
      <w:r w:rsidRPr="00AD7D00">
        <w:rPr>
          <w:rFonts w:ascii="Times New Roman" w:hAnsi="Times New Roman" w:cs="Times New Roman"/>
          <w:color w:val="000000"/>
          <w:sz w:val="20"/>
        </w:rPr>
        <w:t>G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2</w:t>
      </w:r>
      <w:r w:rsidRPr="00AD7D00">
        <w:rPr>
          <w:rFonts w:ascii="Times New Roman" w:hAnsi="Times New Roman" w:cs="Times New Roman"/>
          <w:color w:val="000000"/>
          <w:sz w:val="20"/>
        </w:rPr>
        <w:t>C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, взаимодействие с бизнесом – </w:t>
      </w:r>
      <w:r w:rsidRPr="00AD7D00">
        <w:rPr>
          <w:rFonts w:ascii="Times New Roman" w:hAnsi="Times New Roman" w:cs="Times New Roman"/>
          <w:color w:val="000000"/>
          <w:sz w:val="20"/>
        </w:rPr>
        <w:t>G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2</w:t>
      </w:r>
      <w:r w:rsidRPr="00AD7D00">
        <w:rPr>
          <w:rFonts w:ascii="Times New Roman" w:hAnsi="Times New Roman" w:cs="Times New Roman"/>
          <w:color w:val="000000"/>
          <w:sz w:val="20"/>
        </w:rPr>
        <w:t>B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- Цифровизация субъектов квазигосударственного сектора, что особенно актуально для таких с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тран, как Казахстан, где государство по-прежнему в той или иной форме отвечает за большинство рабочих мест в экономике, а значит и за рост производительности труда. Поскольку зачастую традиционные конкурентные рыночные механизмы для таких компаний не работ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ают, разрабатываются и устанавливаются измеримые КПЭ, связанные с реализацией цифровой трансформации (внедрение технологий индустрии 4.0 и соответствующее создание стоимости, % выручки от новых продуктов, обучение и переквалификация персонала).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Так,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Дания активно инвестирует в цифровизацию госорганов. В настоящее время каждый гражданин и каждый бизнес имеют личный кабинет, с помощью которого происходит общение с госорганами в режиме реального времени. С 2015 г. все граждане обязаны общаться с госорга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нами только через интернет (в Дании 95% домохозяйств имеют доступ в интернет), каждый гражданин имеет цифровой паспорт (</w:t>
      </w:r>
      <w:r w:rsidRPr="00AD7D00">
        <w:rPr>
          <w:rFonts w:ascii="Times New Roman" w:hAnsi="Times New Roman" w:cs="Times New Roman"/>
          <w:color w:val="000000"/>
          <w:sz w:val="20"/>
        </w:rPr>
        <w:t>digital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ID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), а все госорганы и муниципалитеты связаны в единую сеть, что позволяет взаимодействовать со всеми ведомствами с помощью един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ого личного кабинета. Бизнес, кроме коммуникации, имеет возможность осуществлять все операции через интернет, получать выписки, оплачивать налоги и отправлять отчеты (в электронном виде отправка и получение документов занимает 5 минут в сравнении с 5-ю дня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ми при отправке в бумажном виде). Подобная система позволяет ежегодно экономить 10-20% бюджета.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Все эти изменения имеют долгосрочные экономические и социальные последствия. Такое явление, как "экономика совместного потребления", распространяющаяся в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глобальных масштабах ускоренными темпами, оказывает не только прямое влияние на каждого потребителя, но и косвенное влияние на страну в целом. Она является решением для самозанятых граждан, мотивирует к ведению предпринимательской деятельности и способству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ет росту экономической активности. Данный тренд получит дальнейшее развитие по мере того, как новые активы и предметы потребления будут использоваться совместно в целях сокращения индивидуальных издержек.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Уже сегодня ясно, что структура и форма занят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ости будут существенно и стремительно меняться. Развитие технологий будет способствовать трансграничной удаленной занятости, которой не страшны миграционные барьеры.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b/>
          <w:color w:val="000000"/>
          <w:sz w:val="20"/>
          <w:lang w:val="ru-RU"/>
        </w:rPr>
        <w:t>3. Анализ текущей ситуации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Мировые экономические кризисы ставят новые вызовы и прив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одят к большему участию государства в экономике вследствие ориентированности государственной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политики на обеспечение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необходимой социальной защиты населения. Побочным следствием высокой активности государства становится неготовность населения и бизнеса к р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искам и необходимости изменять свое поведение как экономических агентов в условиях современных вызовов. Тем не менее, происходящая перед нашими глазами цифровая революция приводит к тому, что Казахстану необходимо включить цифровизацию как государственную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политику в планы своего развития.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ключевом мировом рейтинге развития ИКТ, рассчитываемом под эгидой ООН – </w:t>
      </w:r>
      <w:r w:rsidRPr="00AD7D00">
        <w:rPr>
          <w:rFonts w:ascii="Times New Roman" w:hAnsi="Times New Roman" w:cs="Times New Roman"/>
          <w:color w:val="000000"/>
          <w:sz w:val="20"/>
        </w:rPr>
        <w:t>ICT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Development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Index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, – Казахстан в 2016 году занимал 52-ю строчку из 175-ти, не изменив своего положения с 2015 года. В результате реализац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ии Программы и других стратегических направлений страна поднимется в рейтинге до 30-го места к 2022 году, 25-го места к 2025 году и до 15-го места к 2050 году.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Казахстан также является догоняющей страной и в рейтинге </w:t>
      </w:r>
      <w:r w:rsidRPr="00AD7D00">
        <w:rPr>
          <w:rFonts w:ascii="Times New Roman" w:hAnsi="Times New Roman" w:cs="Times New Roman"/>
          <w:color w:val="000000"/>
          <w:sz w:val="20"/>
        </w:rPr>
        <w:t>e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-</w:t>
      </w:r>
      <w:r w:rsidRPr="00AD7D00">
        <w:rPr>
          <w:rFonts w:ascii="Times New Roman" w:hAnsi="Times New Roman" w:cs="Times New Roman"/>
          <w:color w:val="000000"/>
          <w:sz w:val="20"/>
        </w:rPr>
        <w:t>intensity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международной консал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тинговой компании </w:t>
      </w:r>
      <w:r w:rsidRPr="00AD7D00">
        <w:rPr>
          <w:rFonts w:ascii="Times New Roman" w:hAnsi="Times New Roman" w:cs="Times New Roman"/>
          <w:color w:val="000000"/>
          <w:sz w:val="20"/>
        </w:rPr>
        <w:t>The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Boston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Consulting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Group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 точки зрения текущего уровня цифровизации. Для преодоления догоняющего статуса в Программе требуется наличие революционных, прорывных мероприятий по всем направлениям цифровизации, стоящим на повестке стран м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ира.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Эти направления включают цифровую трансформацию традиционных отраслей экономики, развитие человеческого капитала, цифровизацию деятельности госорганов, развитие цифровой инфраструктуры, а также прорыв в области развития экосистемы предпринимате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льства в сфере цифровых технологий и, как следствие, изменение моделей производства и создания добавленной стоимости в реальном секторе экономики.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Вместе с этим Казахстан не начинает "с нуля". В 90-е годы стартовала государственная программа по форси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рованному индустриально-инновационному развитию, инициирована программа международного образования "Болашак", в 2005 году начато формирование "электронного правительства". Также в Казахстане уже создан ряд элементов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инновационной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экосистемы, функционирует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СЭЗ "ПИТ "Алатау", АОО "Назарбаев университет", запускается международный технопарк </w:t>
      </w:r>
      <w:r w:rsidRPr="00AD7D00">
        <w:rPr>
          <w:rFonts w:ascii="Times New Roman" w:hAnsi="Times New Roman" w:cs="Times New Roman"/>
          <w:color w:val="000000"/>
          <w:sz w:val="20"/>
        </w:rPr>
        <w:t>Astana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hub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. 3/4 взрослого населения нашей страны имеет базовый уровень цифровой грамотности, более 3/4 – имеют доступ в интернет. Это значительная база, от которой мы можем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отталкиваться в реализации Программы.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Одним из шагов к созданию условий для перехода к информационному обществу стала Государственная программа "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Информационный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Казахстан-2020", утвержденная в 2013 году. В качестве фундамента для цифровой трансформац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ии экономики страны данная программа способствовала развитию следующих факторов: перехода к информационному обществу, совершенствованию государственного управления, созданию институтов "открытого и мобильного правительства", росту доступности информационно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й инфраструктуры не только для корпоративных структур, но и для граждан страны. По результатам трех лет реализации Государственной программы "Информационный Казахстан-2020" уже исполнено 70% мероприятий, на 40% перевыполнены целевые индикаторы. Однако стре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мительное развитие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ИТ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глобальных масштабах диктует свои правила и требует адекватной и своевременной реакции. Поэтому следующий шаг для Казахстана – вовремя инициировать процесс преобразования ключевых отраслей национальной экономики, образования, здраво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охранения, а также сферы взаимодействия государства </w:t>
      </w:r>
      <w:r w:rsidRPr="00AD7D00">
        <w:rPr>
          <w:rFonts w:ascii="Times New Roman" w:hAnsi="Times New Roman" w:cs="Times New Roman"/>
          <w:color w:val="000000"/>
          <w:sz w:val="20"/>
        </w:rPr>
        <w:t>c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обществом и бизнесом.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Глава государства в Послании народу Казахстана от 31 января 2017 года объявил о Третьей модернизации, стержнем которой является цифровизация, отметил необходимость культивир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ования новых индустрий, создаваемых с применением цифровых технологий, и что "важно обеспечить развитие коммуникаций, повсеместный доступ к оптоволоконной инфраструктуре. Развитие цифровой индустрии обеспечит импульс всем другим отраслям". В Общенациональн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ом плане по реализации Послания Президента народу Казахстана от 31 января 2017 года был определен критерий достижения целей реализации Третьей модернизации страны - Казахстан войдет в число 30 развитых государств мира к 2050 году. Для этого среднегодовые т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емпы роста экономики должны быть на уровне 4,5-5%. Ключевыми драйверами в новой модели роста должны стать сектора экономики, которые способны обеспечить 70% роста ВВП, увеличение занятости населения, экспорта и привлечения инвестиций. В соответствии с этим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утверждены приоритетные направления, находящиеся в авангарде Третьей модернизации. Остальные 30% роста предполагается обеспечивать социальными отраслями (здравоохранение, образование, занятость) и отраслью И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КТ в кр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аткосрочной перспективе.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пятом пр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иоритете Третьей модернизации Президент страны обозначил актуальность борьбы с киберпреступностью, религиозным экстремизмом и терроризмом. В Послании Главы государства сделано поручение Правительству и Комитету национальной безопасности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разработать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концепц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ию "Киберщит Казахстана", целью которой является обеспечение информационной безопасности общества и государства в сфере информатизации и связи, а также защиты неприкосновенности частной жизни граждан при использовании ими информационно-коммуникационной инф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раструктуры.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Следовательно, есть готовность и все необходимые предпосылки для достижения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амбициозной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цели, поставленной в данной Программе, и реализации необходимых для ее достижения изменений.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b/>
          <w:color w:val="000000"/>
          <w:sz w:val="20"/>
          <w:lang w:val="ru-RU"/>
        </w:rPr>
        <w:t>3.1. Цифровые преобразования в отраслях экономики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Новая цифровая революция изменяет сегодняшние способы производства, цепочки поставок и цепочки создания добавленной стоимости.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Индустрия 4.0, один из драйверов цифровой трансформации промышленности, представляет собой концепцию организации производства, гд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е дополнительная ценность обеспечивается за счет интеграции физических объектов, процессов и цифровых технологий, при которой в режиме реального времени осуществляется мониторинг физических процессов, принимаются децентрализованные решения, а также происхо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дит взаимодействие машин между собой и людьми.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Сквозная цифровизация всех физических активов и их интеграция создают основу для перехода от массового производства к массовой индивидуализации, повышается гибкость производства, сокращается время освоения нов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ой продукции, что позволяет реализовывать новые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бизнес-модели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и применять индивидуализированный подход работы с клиентами. Все это в значительной степени повышает эффективность и конкурентоспособность предприятий промышленности.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Добывающая, обрабатыв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ающая промышленность и электроэнергетика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Недропользование на текущий момент составляет основу реального сектора экономики Казахстана. Однако до сих пор недостаточно развит сектор обрабатывающей промышленности высокого передела. Электроэнергетика обес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печивает потребности населения и производства, но требует перехода на более технологичный и ресурсосберегающий уровень.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Казахстан входит в число мировых лидеров по запасам минеральных ресурсов. Сырьевая база страны занимает первое место в мире по раз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веданным запасам цинка, вольфрама, барита, второе — по урану, серебру, свинцу и хромитам, шестое — по золоту, двенадцатое – по нефти, и четырнадцатое место по запасам природного газа.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В 2015 году в целом из-за падения мировых цен на минеральные ресур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сы произошло снижение объемов производства в горнодобывающей промышленности на 2,5%, сокращение добычи нефти на 1,7 %, угля и лигнита – на 7,2 %, железной руды – на 22%. В 2016 году падение объема производства горнодобывающей отрасли составило 2,7%. Тем не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менее, в долгосрочной перспективе нефтяной и горнодобывающий секторы сохраняют важное значение для функционирования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казахстанской экономики. При этом производительность труда в недропользовании остается на невысоком уровне, как и технологическая оснащенно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сть производства.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горнодобывающей и обрабатывающей промышленности ключевым трендом является переход на новый технологический уровень в соответствии с концепцией Индустрии 4.0.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настоящее время горнорудная промышленность Казахстана имеет нед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остаточную, по сравнению с мировыми лидерами, технологическую оснащенность, что в целом, приводит к невысокой производительности труда и конкурентоспособности. Несмотря на то, что часть месторождений в стране оснащена современным оборудованием и развитыми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сетями передачи данных (21%), существенная часть месторождений нуждается в модернизации. Так 56% месторождений характеризуется отсутствием сетей либо недостаточным их развитием, 23% месторождений требуют полной замены оборудования.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Среди наиболее з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начимых сдерживающих факторов развития цифровой составляющей добывающей промышленности являются ограниченность финансовых ресурсов, нехватка квалифицированных кадров, имеющих гибридную специализацию – как в отрасли, так и в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ИТ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>, недостаточное понимание экон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омических выгод от внедрения цифровизации, а также ограничения инфраструктуры.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Обрабатывающая промышленность – отрасль экономики, развитие которой является одним из важнейших условий устойчивого развития Казахстана. Обрабатывающие отрасли формируют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спрос на высокотехнологические услуги, создают инженерные компетенции и качественные рабочие места. При этом в части технологического развития более 80% предприятий обрабатывающей промышленности характеризуется невысокой степенью автоматизации и проникнов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ением цифровых технологий. Так, к примеру, в нефтепереработке на текущий момент используются ежегодные плановые остановки НПЗ на ремонты, что свидетельствует о неоптимизированных процессах ремонта и обслуживания оборудования и соответственно влечет увеличе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ние затрат в целом.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Основным мировым трендом в энергетике является внедрение различных </w:t>
      </w:r>
      <w:r w:rsidRPr="00AD7D00">
        <w:rPr>
          <w:rFonts w:ascii="Times New Roman" w:hAnsi="Times New Roman" w:cs="Times New Roman"/>
          <w:color w:val="000000"/>
          <w:sz w:val="20"/>
        </w:rPr>
        <w:t>Smart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технологий с целью обеспечения эффективного информационного обмена между всеми элементами и участниками сети, защиты и самовосстановления от крупных сбоев,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природных катаклизмов, внешних угроз.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Сфера охраны окружающей среды нуждается в оперативной, достоверной и полноценной информации. В связи с этим вопросы автоматизации имеют важное стратегическое значение, так как в дальнейшем результаты деятельнос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ти в области охраны окружающей среды будут складываться не только от состояния материальной базы, квалификации персонала, но и от достоверности и оперативности представления всей экологической информации.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Транспорт и логистика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Качественная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транспортная и логистическая инфраструктура дает мощный толчок развитию экономики за счет повышения связности территории и снижения накладных расходов на доставку товаров до места назначения.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Для получения максимального эффекта от развития инфраструк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туры сетей связи требуется параллельно развивать транспортную связность территории как за счет развития всех видов транспортного сообщения и удешевления его стоимости, так и за счет развития инфраструктуры пересылки и доставки грузов. В настоящее время Каз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ахстан имеет высокоразвитую сеть железнодорожных путей, однако недостаточно развитую сеть автомобильных дорог и избыточно дорогостоящие авиаперевозки. Развиваются мультимодальные трансконтинентальные перевозки грузов Европа-Азия, но и здесь есть большой по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тенциал роста. Есть небольшой объем морских и речных перевозок, в которых также есть нераскрытый потенциал роста.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Что касается примеров мирового опыта в решении проблем транспортной отрасли экономики, то в США для этой цели разработали первые стандар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ты по интеллектуальной транспортной системе в середине 90-х годов прошлого столетия. В период с 2002 по 2012 годы в США была реализована программа национальной интеллектуальной транспортной системы. В Японии к созданию интеллектуальной транспортной системы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приступили в первой половине 70-х годов прошлого столетия с научных исследований, которые в дальнейшем были оформлены в виде социально-ориентированной программы для повышения общенационального благосостояния. В Китае в 2007 году принята "Стратегия развити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я интеллектуальной транспортной системы Китая". Соответствующие задания на разработку и внедрение сервисов интеллектуальной транспортной системы отражаются в пятилетних планах развития экономики Китая.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Таким образом, для обеспечения дальнейшего роста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транспортно-логистической отрасли требуется внедрение транспортной системы, которая бы содействовала увеличению транзитного потенциала путем управления транспортными средствами, усилению безопасности на транспорте путем оперативной обработки информации и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выработки оптимальных и рациональных решений и управляющих воздействий.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Опыт зарубежных стран демонстрирует, что увеличения грузопотока можно достичь, в том числе за счет оптимизации бумажного документооборота, применяя международный стандарт "</w:t>
      </w:r>
      <w:r w:rsidRPr="00AD7D00">
        <w:rPr>
          <w:rFonts w:ascii="Times New Roman" w:hAnsi="Times New Roman" w:cs="Times New Roman"/>
          <w:color w:val="000000"/>
          <w:sz w:val="20"/>
        </w:rPr>
        <w:t>E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-</w:t>
      </w:r>
      <w:r w:rsidRPr="00AD7D00">
        <w:rPr>
          <w:rFonts w:ascii="Times New Roman" w:hAnsi="Times New Roman" w:cs="Times New Roman"/>
          <w:color w:val="000000"/>
          <w:sz w:val="20"/>
        </w:rPr>
        <w:t>frei</w:t>
      </w:r>
      <w:r w:rsidRPr="00AD7D00">
        <w:rPr>
          <w:rFonts w:ascii="Times New Roman" w:hAnsi="Times New Roman" w:cs="Times New Roman"/>
          <w:color w:val="000000"/>
          <w:sz w:val="20"/>
        </w:rPr>
        <w:t>ght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", в процессе грузовых авиаперевозок, а также развития мультимодальных перевозок.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Проблемы отрасли лежат в нескольких измерениях и касаются внутреннего и внешнего контуров: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- низкий контроль транзитных и импортных грузов;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- отсутствие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возможности мониторинга, анализа и прогнозирования всех видов перевозок для принятия решений;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- слаборазвитая логистическая инфраструктура.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Вышеперечисленные проблемы приводят как к неиспользованию транзитного потенциала, так и созданию барьеро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в к развитию внутреннего производства.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Сельское хозяйство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Сельское хозяйство – одна из ключевых отраслей экономики Казахстана, обеспечивающая продовольственную и экономическую безопасность, а также трудовой потенциал страны, особенно в сельской местности. По данным за 2016 год ВДС сельского, лесного и рыбно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го хозяйств составил 4,6% от В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ВП стр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аны, в отрасли занято 18% работающего населения страны.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Валовой выпуск продукции (услуг) сельского хозяйства в 2016 году в целом по республике составил 3 684,4 млрд. тенге, что выше уровня 2015 года на 5,4%. За 20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16 год рост производства продукции растениеводства составил 7,5% и продукции животноводства - на 2,8%. Тем не менее, сельское хозяйство остается отраслью с нереализованным потенциалом роста.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Несмотря на положительную динамику валового выпуска сельск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ого хозяйства, объем производства в целом отстает от темпов роста потребления и доходов населения, а сохранение производительности труда и конкурентоспособности продукции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на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низком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уровне не позволяет нарастить выпуск, что обуславливает высокую долю импорт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а во внутреннем потреблении. Со вступлением Казахстана во Всемирную торговую организацию усилились и требования к повышению конкурентоспособности на внешних рынках.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Как показывает опыт развитых стран, таких как США, Канада, Австралия, цифровые техно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логии кардинально меняют эту традиционную отрасль. Современные геоинформационные системы и большие данные, получаемые из различных источников, включая </w:t>
      </w:r>
      <w:r w:rsidRPr="00AD7D00">
        <w:rPr>
          <w:rFonts w:ascii="Times New Roman" w:hAnsi="Times New Roman" w:cs="Times New Roman"/>
          <w:color w:val="000000"/>
          <w:sz w:val="20"/>
        </w:rPr>
        <w:t>IoT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, способствуют получению высоких урожаев без истощения почвы, причем с рациональным использованием рес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урсов. Промышленный интернет вещей позволяет создавать автоматизированные фермы с удаленным управлением. Развитая система логистики и электронная торговля позволяют снизить себестоимость доставки сельхозпродукции до конечного потребителя даже небольшим фер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мерским хозяйствам с сохранением его качества. Это является важным фактором сохранения и развития производства экологически чистой продукции как с точки зрения сохранения здоровья нации, так и с точки зрения реализации экспортного потенциала.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На сег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одняшний день в сельском хозяйстве Республики Казахстан доля сельхозпроизводителей, применяющих цифровые технологии, незначительна, что ограничивает рост производительности и сокращения расходов. Кроме того, сельскохозяйственные земли либо не используются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по назначению, либо используются неэффективно, и это сложно контролировать вследствие большой территории, невысокой плотности населения и отсутствия необходимой инфраструктуры мониторинга состояния и использования земель с анализом и прогнозированием в кра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ткосрочной и долгосрочной перспективе.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Рыбное хозяйство имеет большое значение в качестве источника доходов, базы для экономического роста, обеспечения занятости населения, повышения экспорта рыбной продукции, других потенциальных возможностей и ка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к возобновляемый источник биологического разнообразия. Неконтролируемый нелегальный вылов и теневой оборот рыбной продукции могут привести к исчезновению рыбных ресурсов и дефициту продовольственной продукции, возникает необходимость выявления теневого обо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рота рыбы.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Существует большой потенциал преобразований в сельском хозяйстве с помощью цифровых технологий, и в условиях полномасштабной программы цифровизации сельское хозяйство способно выйти на качественно новый уровень развития и стать драйвером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экономики страны. Основными направлениями реализуемых мероприятий программы цифровизации сельского хозяйства являются повышение урожайности и производительности труда, сохранение продовольственной безопасности страны.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Электронная торговля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Торг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овля – важнейший драйвер экономического роста в Казахстане. Доля оптовой и розничной торговли; ремонт автомобилей и мотоциклов в ВВП Казахстана за 2016 год составил 16,8%, а ее вклад в ВВП в отдельные годы последних двух десятилетий составлял 2 процентных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пункта. При этом доля электронной торговли сегодня составляет относительно малую часть розничного оборота - 1% в 2016 году.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то же время, в развитых и развивающихся странах стремительно развивается электронная торговля, ее позитивное воздействие р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аспространяется не только на сферу бизнеса, но и на качество жизни населения в стране в целом. В частности, благодаря электронной коммерции население получает доступ к большему количеству товаров по более низким ценам, к примеру, за счет вовлечения в между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народную торговлю. С точки зрения влияния на бизнес стоит отметить, что растущая популярность электронной коммерции приводит к увеличению числа людей, желающих открыть собственный бизнес в этой сфере.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Предполагается, что в ближайшие 10 лет привлека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тельность электронной торговли возрастет за счет ряда качественных изменений.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Среди них – повышение эффективности доставки, в том числе за счет использования новых способов доставки, широкого использования клиентской аналитики, расширения ассортимента това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ров и роста популярности мобильной коммерции.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то же время, необходимо учитывать ряд барьеров для развития электронной торговли, присутствующих на всех этапах цепочки создания ценности.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Так, на этапе привлечения клиентов ограничивающим факто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ром является недостаточное продвижение электронной торговли и игроков, электронная торговля не рекламируется на телевидении и в наружной рекламе, что также не позволяет привлечь новых потребителей.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При организации доступа к электронной платформе пр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оисходят частые технические сбои ИТ-систем у игроков индустрии электронной торговли. При этом в качестве одной из наиболее распространенных проблем остается неспособность повсеместной адаптации систем для пользования ими с мобильных устройств.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Поми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мо этого, в Казахстане ощущается недостаток специалистов со специфическими компетенциями, необходимыми для развития индустрии, например, интернет-маркетологов и специалистов по контенту.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Комплектация, отгрузка и доставка товара осложняются недостато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чным уровнем развития транспортной и логистической инфраструктуры, что становится причиной дорогой и долгой логистики.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Ко всем вышеперечисленным сложностям добавляются низкая культура потребления онлайн, низкий уровень информированности граждан, слаб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ая доступность заемного финансирования для МСБ и неблагоприятная экономическая конъюнктура, обуславливающая высокую стоимость капитала.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Существуют также ключевые проблемы в области правового регулирования сферы электронной коммерции.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К ним относятся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сложные таможенные процедуры, ограничивающие экспорт компаний электронной торговли, отсутствие налоговых льгот, и других действенных стимулов со стороны государства, ограничения для развития иностранных компаний, в том числе кроссграничной торговли и больш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ой теневой оборот торговли.</w:t>
      </w:r>
      <w:proofErr w:type="gramEnd"/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Финансовый сектор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Финансовый сектор является важным элементом экономики, и от его состояния зависят скорость и качество протекающих изменений. В настоящее время неотъемлемой частью финансового сектора стали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электронные платежи и электронная торговля. Финансовая отрасль традиционно выступает лидером во внедрении и применении инновационных технологий и цифровых сервисов для взаимодействия с клиентами. Практически все банки предоставляют услуги посредством диста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нционных каналов. 70% банков оказывают сервисы физическим лицам посредством интернет и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мобильного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банкинга, 55% банков предоставляют свои услуги на базе мобильных приложений. Объем платежей физических лиц с использованием интернет и мобильного банкинга в 2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016 году по сравнению с 2015 годом увеличился в 2,6 раза. Для инвесторов был упрощен порядок оказания электронных услуг брокерами, включая проведение торговых операций на основании электронной цифровой подписи клиента и оказание электронных услуг через лич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ный кабинет. Это упростило доступ на рынок региональных инвесторов и позволило инвесторам осуществлять торговлю финансовыми инструментами на казахстанском фондовом рынке из любой точки мира.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Препятствиями к дальнейшей цифровизации финансовых отношени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й являются отсутствие эффективного регулирования, унифицированных стандартов электронного взаимодействия финансового сектора с государственными информационными системами и базами данных, универсального механизма удаленной идентификации клиентов, а также не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достаточный уровень финансовой грамотности населения.</w:t>
      </w:r>
      <w:proofErr w:type="gramEnd"/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Важным элементом является вовлечение населения в формальную финансовую систему. Для повышения доступности финансовых, в частности, платежных услуг развиваются внебанковские экосистемы – системы э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лектронных денег, операторами мобильной связи внедряются решения по оплате товаров и услуг с абонентского счета. При этом данные решения ограничены экосистемой поставщика услуг, что ограничивает массовое применение населением. Примером наибольшего развития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мобильных платежей являются Швеция и Кения, несмотря на разницу в подходах – банковские и небанковские платформы.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Опыт таких стран как Великобритания, Швеция, Австрия, Сингапур, Корея, Австралия демонстрирует, что создание технологических платформ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для обеспечения межинституциональной удаленной идентификации населения, внедрение открытых платформ в финансовом секторе, построение интегрированной цифровой среды взаимодействия и коммуникаций между финансовыми институтами, клиентами и государственными 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рганами позволяют качественно улучшить уровень сервисов в финансовом секторе. Все это соответствует глобальному тренду цифровизации, трансформирует отрасль и создает предпосылки для обеспечения повсеместного получения финансовых и других услуг.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Сов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ременные технологические тренды кардинально изменяют парадигму оказания финансовых услуг – рождаются новые сферы и направления,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бизнес-модели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, снижается стоимость финансовых услуг, а также нивелируются риски, присущие отрасли.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Развитие ИКТ отрасли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структуре рынка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ИТ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следует выделить три крупных сегмента: оборудование, лицензионное программное обеспечение и услуги в сфере ИТ.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По данным Агентства </w:t>
      </w:r>
      <w:r w:rsidRPr="00AD7D00">
        <w:rPr>
          <w:rFonts w:ascii="Times New Roman" w:hAnsi="Times New Roman" w:cs="Times New Roman"/>
          <w:color w:val="000000"/>
          <w:sz w:val="20"/>
        </w:rPr>
        <w:t>IDC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объем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ИТ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рынка Республики Казахстан в 2015 году составил 1 687 млн. долларов США проти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в 2.0 млрд. долларов США в 2014 году. Доля сегмента оборудования оценивается в 81,2% или 1 369 млн. долларов США, доля лицензионного программного обеспечения в 7,5% или 126,8 млн. долларов США, доля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ИТ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услуг в 11,3% или 190,5 млн. долларов США.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За 2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016 год объем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ИТ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рынка страны составил 1 307,4 млн. долларов США Доля оборудования составила 84,3% или 1 101,8 млн. долларов США, доля лицензионного программного обеспечения 4,7% или 62,1 млн. долларов США, доля ИТ услуг 11,0% или 143,5 млн. долларов США.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Для сравнения в таких странах как Англия и Франция доля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ИТ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услуг в 2016 году составила 46,5% и 43,7% соответственно. В восточно-европейских странах, например, в Польше и Чехии доля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ИТ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услуг в общем объеме ИТ рынка составила 32,6% и 34,9% соответственно. В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России доля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ИТ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услуг составила 23,8%. В то же время объем местного содержания, входящий в валовую добавленную стоимость страны, весьма незначителен, в основном образуется за счет ИТ услуг и по экспертным оценкам не превышает 30% от доли ИТ услуг.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Эт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и данные показывают на низкую эффективность инвестиций в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ИТ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, низкий уровень кибербезопасности и необходимость принятия мер по продвижению местного содержания.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 По данным ОЮЛ "Казахстанская ассоциация </w:t>
      </w:r>
      <w:r w:rsidRPr="00AD7D00">
        <w:rPr>
          <w:rFonts w:ascii="Times New Roman" w:hAnsi="Times New Roman" w:cs="Times New Roman"/>
          <w:color w:val="000000"/>
          <w:sz w:val="20"/>
        </w:rPr>
        <w:t>IT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компаний" на 2016 год в стране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зарегистрирован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ы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2 560 компаний, осуществляющих деятельность в сфере информационных технологий. Эти компании осуществляют разные виды деятельности, и из них 770 компаний занимаются разработкой программного обеспечения. Среди этих компаний имеются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ИТ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компании, обеспечиваю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щие высокую долю местного содержания (до 100%) в реализуемых ими ИТ проектах.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 Мировой опыт показывает, что создание условий для развития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ИТ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компаний и формирование полного цикла поддержки стартапов обеспечиваются технопарками. Однако действующие в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стране технопарки не получили должного развития, в том числе по причине низкой эффективности работы в сегменте информационных технологий, созданных институтов развития. Институт венчурного финансирования в Казахстане также не получил должного развития.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</w:t>
      </w:r>
      <w:r w:rsidRPr="00AD7D00">
        <w:rPr>
          <w:rFonts w:ascii="Times New Roman" w:hAnsi="Times New Roman" w:cs="Times New Roman"/>
          <w:color w:val="000000"/>
          <w:sz w:val="20"/>
        </w:rPr>
        <w:t>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Необходимо отметить, что условиями технологического развития, обеспечения кибербезопасности страны являются полноценная поддержка действующих отечественных ИТ-компаний, работающих на рост добавленной стоимости в секторе информационных технологий, и ори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ентир на работу с доверенным программным обеспечением. Одновременно, условиями развития являются формирование и развитие стартапного направления с привлечением на взаимовыгодных условиях технологических предпринимателей со всего мира.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b/>
          <w:color w:val="000000"/>
          <w:sz w:val="20"/>
          <w:lang w:val="ru-RU"/>
        </w:rPr>
        <w:t>3.2. Цифровизация дея</w:t>
      </w:r>
      <w:r w:rsidRPr="00AD7D00">
        <w:rPr>
          <w:rFonts w:ascii="Times New Roman" w:hAnsi="Times New Roman" w:cs="Times New Roman"/>
          <w:b/>
          <w:color w:val="000000"/>
          <w:sz w:val="20"/>
          <w:lang w:val="ru-RU"/>
        </w:rPr>
        <w:t>тельности государственных органов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Данной программой поставлены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амбициозные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цели по цифровизации деятельности госорганов. Для реализации этих целей будет создана инфраструктура поддержки в виде адаптированного законодательства, мер поддержки бизнеса,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образования и науки, упрощения процедур ведения бизнеса, сокращения транзакционных издержек при взаимодействии с государством. Более того, государство будет предвосхищать потребности своих граждан в получении услуг, максимально высвобождая время для произв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одительного труда и стимулирования экономически активного поведения.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Электронное правительство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На предыдущем этапе информатизации государство создало "Электронное Правительство" Республики Казахстан в виде базовой инфраструктуры и информационн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ых систем государственных органов, прямо или косвенно задействованных в оказании государственных услуг.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На июль 2017 года в электронную форму переведено более 740 услуг и сервисов, реализованы 83 мобильные услуги. В 2015 году объем оказанных государ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ственных услуг в электронной форме на веб-портале составил более 36 миллионов, в 2016 году – около 40 миллионов. На сентябрь 2017 года количество зарегистрированных уникальных пользователей достигло более 6,6 миллионов человек.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По состоянию на октяб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рь 2017 года в стране функционирует 349 центров обслуживания населения. В 2013 году на базе </w:t>
      </w:r>
      <w:r w:rsidRPr="00AD7D00">
        <w:rPr>
          <w:rFonts w:ascii="Times New Roman" w:hAnsi="Times New Roman" w:cs="Times New Roman"/>
          <w:color w:val="000000"/>
          <w:sz w:val="20"/>
        </w:rPr>
        <w:t>Call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-центра "электронного правительства" был создан Единый контакт-центр с бесплатным номером телефона 1414. В Единый контакт-центр ежедневно поступает не менее 14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тысяч обращений от граждан, с прогнозируемым ростом в среднем на 15% от общего количества обращений ежегодно. Это создает большую нагрузку на операторов, приводит к проблемам с дозвоном и снижает качество услуг. Большое количество звонков содержит однотипн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ые обращения, их можно было бы перевести в режим автоматической обработки или самообслуживания.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На веб-портале электронного правительства создана площадка Открытого правительства. По состоянию на октябрь 2017 года на портале "открытых данных"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размещ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ены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2 376 наборов данных, обсуждены 17 132 проекта нормативных правовых актов и концепций законопроектов, опубликованы 14 928 бюджетных документов.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Несмотря на достигнутые результаты, остаются актуальными проблемы, связанные с недостаточным уровнем 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ткрытости, клиентоориентированности и проактивности. Так, например, государственные органы неохотно раскрывают информацию, которая может быть использована для создания добавочной стоимости в виде актуальных и востребованных открытых данных.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Профильна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я деятельность государственных органов автоматизируется - однако, до сих пор есть сферы деятельности, недостаточно охваченные информатизацией. Появление новых технологий дает возможность предоставлять услуги более высокого качества, чем те, которые реализо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ваны на текущий момент. Например, использование технологий больших данных может привести к принципиально новому подходу к анализу потребностей населения, и, как следствие, повышению качества обслуживания.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Непременными условиями вхождения Казахстана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в топ-30 развитых стран мира являются не только рост ВВП до уровня развитых стран, но и преодоление разрыва в социально-экономическом развитии, в частности, достижение прогресса в улучшении показателей системы здравоохранения, и, соответственно, поддержани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е высокого уровня здоровья, продолжительности и качества жизни населения.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Цифровые технологии в здравоохранении могут помочь решить основные блоки проблем: доступность и качество медицинской помощи, а также вопросы профилактики заболеваний.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Зд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равоохранение напрямую влияет на длительность и качество жизни населения страны, включая сохранение возраста трудоспособности и экономической активности. Цифровизация здравоохранения позволяет снизить количество медицинских ошибок, повысить качество и скор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ость обслуживания, а также качество принятия управленческих решений.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настоящее время государственные проекты, реализуемые в развитых странах, ориентированы на формирование целостной архитектуры национального уровня, обеспечивающей сбор, обработку 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обмен данными о здоровье граждан и системе здравоохранения. Основные цели – получение единой информационной среды с возможностью мониторинга здоровья каждого человека, повышения эффективности системы здравоохранения в целом, повышение качества и доступнос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ти медицинской помощи, снижение количества медицинских ошибок, построения системы, в центре которой находятся пациент и информация о его здоровье.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2004 году в Казахстане была создана Национальная телемедицинская сеть. К концу 2016 года она объедини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ла 204 объекта здравоохранения, с ее помощью сотрудники медицинских организаций районного уровня (144 районных и городских больниц) могут получить консультации коллег из областных и республиканских больниц и центров. За 2016 год проведено 28 060 телемедици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нских консультаций, наиболее востребованы консультации по кардиологии – 4 674 сеансов, пульмонологии – 3 666 сеансов, неврологии – 2</w:t>
      </w:r>
      <w:r w:rsidRPr="00AD7D00">
        <w:rPr>
          <w:rFonts w:ascii="Times New Roman" w:hAnsi="Times New Roman" w:cs="Times New Roman"/>
          <w:color w:val="000000"/>
          <w:sz w:val="20"/>
        </w:rPr>
        <w:t>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720 сеансов. Всего за период с 2004 по 2016 годы пациенты медицинских организаций получили более 133 тыс. телемедицинских к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онсультаций.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Однако система здравоохранения все еще имеет достаточно большие сферы, неохваченные цифровизацией и не использующие современные возможности увеличения эффективности.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Также существуют проблемы в нормотворческом процессе, в том числе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отсутствует единое информационное пространство; недостаточная прозрачность и разрыв связи между мониторингом и процессом нормотворчества, где ведение правового мониторинга осуществляется вручную; отсутствуют инструменты для проведения анализа перед разраб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откой НПА, в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связи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 чем существует необходимость дальнейшего совершенствования информационных систем, которые будут прозрачными и работать в едином информационном пространстве.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"Умные" города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Современный мир предъявляет высокие требования к го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родской инфраструктуре. В крупных городах существуют проблемы транспортной логистики, технической и социальной городской инфраструктуры, качества городской среды, эффективности управления развитием города, развития городского общественного, делового и жило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го пространства с учетом увеличивающегося населения города.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 2012 года в городе Астане реализуется проект "Система комплексного обеспечения жизнедеятельности", в рамках которого функционируют сегменты развития систем видеонаблюдения, внедрения фото-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видео фиксации нарушений, создания центра обработки данных, центра оперативного управления и интеллектуального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контакт-центра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>. Реализуются инициативы по направлениям "</w:t>
      </w:r>
      <w:r w:rsidRPr="00AD7D00">
        <w:rPr>
          <w:rFonts w:ascii="Times New Roman" w:hAnsi="Times New Roman" w:cs="Times New Roman"/>
          <w:color w:val="000000"/>
          <w:sz w:val="20"/>
        </w:rPr>
        <w:t>Smart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школа" (подключены 19 школ из 88), "</w:t>
      </w:r>
      <w:r w:rsidRPr="00AD7D00">
        <w:rPr>
          <w:rFonts w:ascii="Times New Roman" w:hAnsi="Times New Roman" w:cs="Times New Roman"/>
          <w:color w:val="000000"/>
          <w:sz w:val="20"/>
        </w:rPr>
        <w:t>Smart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уличное освещение", "</w:t>
      </w:r>
      <w:r w:rsidRPr="00AD7D00">
        <w:rPr>
          <w:rFonts w:ascii="Times New Roman" w:hAnsi="Times New Roman" w:cs="Times New Roman"/>
          <w:color w:val="000000"/>
          <w:sz w:val="20"/>
        </w:rPr>
        <w:t>Smart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поликлиника" (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подключены 2 поликлиники из 10). В городе Алматы внедрена система фото-видео фиксации нарушений, а в 2015 году запущена система электронного билетирования в общественном транспорте - "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О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>ңай".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b/>
          <w:color w:val="000000"/>
          <w:sz w:val="20"/>
          <w:lang w:val="ru-RU"/>
        </w:rPr>
        <w:t>3.3. Развитие цифровой инфраструктуры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Информационно-коммуни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кационная инфраструктура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Сегодня информационно-телекоммуникационная инфраструктура становится важнейшим элементом экономического развития. Без современной доступной телекоммуникационной инфраструктуры невозможно закрепление Казахстана в мировом экон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омическом и информационном пространстве. Доступность ИКТ является фундаментом для построения цифровой экономики.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Основной составляющей развитой ИКТ инфраструктуры является широкополосный доступ в Интернет. Широкополосный доступ обеспечивается провод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ными технологиями, такие как </w:t>
      </w:r>
      <w:r w:rsidRPr="00AD7D00">
        <w:rPr>
          <w:rFonts w:ascii="Times New Roman" w:hAnsi="Times New Roman" w:cs="Times New Roman"/>
          <w:color w:val="000000"/>
          <w:sz w:val="20"/>
        </w:rPr>
        <w:t>FTT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х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, </w:t>
      </w:r>
      <w:r w:rsidRPr="00AD7D00">
        <w:rPr>
          <w:rFonts w:ascii="Times New Roman" w:hAnsi="Times New Roman" w:cs="Times New Roman"/>
          <w:color w:val="000000"/>
          <w:sz w:val="20"/>
        </w:rPr>
        <w:t>ADSL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и беспроводными технологиями 3</w:t>
      </w:r>
      <w:r w:rsidRPr="00AD7D00">
        <w:rPr>
          <w:rFonts w:ascii="Times New Roman" w:hAnsi="Times New Roman" w:cs="Times New Roman"/>
          <w:color w:val="000000"/>
          <w:sz w:val="20"/>
        </w:rPr>
        <w:t>G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, 4</w:t>
      </w:r>
      <w:r w:rsidRPr="00AD7D00">
        <w:rPr>
          <w:rFonts w:ascii="Times New Roman" w:hAnsi="Times New Roman" w:cs="Times New Roman"/>
          <w:color w:val="000000"/>
          <w:sz w:val="20"/>
        </w:rPr>
        <w:t>G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и спутниковой связью. Для обеспечения населения и бизнеса широкополосным доступом к сети интернет в городах и областях Республики Казахстан создана телекоммуникационная инфраструкт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ура; однако на сегодняшний день она не удовлетворяет потребностям сельских жителей. В целях снижения цифрового неравенства необходимо более качественно и всеохватно обеспечить сетями широкополосного доступа сельские населенные пункты.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Правительства м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ногих стран мира рассматривают широкополосный доступ в интернет как ключевой элемент своих программ развития. Европейский союз реализует инициативу "Цифровая повестка дня", входящую в стратегию "</w:t>
      </w:r>
      <w:r w:rsidRPr="00AD7D00">
        <w:rPr>
          <w:rFonts w:ascii="Times New Roman" w:hAnsi="Times New Roman" w:cs="Times New Roman"/>
          <w:color w:val="000000"/>
          <w:sz w:val="20"/>
        </w:rPr>
        <w:t>EU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2020", где инфраструктура высокоскоростного доступа в инте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рнет обозначена как основа современной экономики Европейского Союза. США финансирует из федерального бюджета проекты по расширению доступа сельского населения к оптоволоконной инфраструктуре. Канада в стратегии "Цифровая Канада 150" - инвестирует в расшире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ние услуг высокоскоростного интернета для 280 тыс. домохозяйств в сельских и отдаленных населенных пунктах.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По информации Комитета по статистике Министерства национальной экономики Республики Казахстан, в 2014 году доля пользователей сети интернет (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включая мобильный) в возрасте 6-74 лет составляет 63,9%, за 2015 год – 72,9%, за 2016 год – 76,8%. Покрытие сетями 4</w:t>
      </w:r>
      <w:r w:rsidRPr="00AD7D00">
        <w:rPr>
          <w:rFonts w:ascii="Times New Roman" w:hAnsi="Times New Roman" w:cs="Times New Roman"/>
          <w:color w:val="000000"/>
          <w:sz w:val="20"/>
        </w:rPr>
        <w:t>G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2015 году составило 65,5% населения, в 2016 году – 69%.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сельской местности наблюдается "цифровой разрыв" - отставание в развити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и сети передач данных. Плотность городских пользователей сети интернет по итогам 2014 года составила 72,6%, в сельских населенных пунктах – 52,7%; в 2015 году – 76,4% и 68,3%; в 2016 году – 81,3% и 70,9% соответственно. Преодоление информационного неравенс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тва регионов осложняется размерами страны, наличием более 6 600 сельских населенных пунктов, часть которых расположена в удаленных и труднодоступных местностях. В мировом опыте эта проблема решается развитием спутниковой связи и вещания, которые предоставл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яют: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- возможность равноправного доступа населения страны к информации, в том числе к государственным услугам, информационным ресурсам отечественного телевещания;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- опережающее удовлетворение растущих информационных потребностей населения, бизн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еса и государства.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Запущены космические системы связи "</w:t>
      </w:r>
      <w:r w:rsidRPr="00AD7D00">
        <w:rPr>
          <w:rFonts w:ascii="Times New Roman" w:hAnsi="Times New Roman" w:cs="Times New Roman"/>
          <w:color w:val="000000"/>
          <w:sz w:val="20"/>
        </w:rPr>
        <w:t>KazSat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2" и "</w:t>
      </w:r>
      <w:r w:rsidRPr="00AD7D00">
        <w:rPr>
          <w:rFonts w:ascii="Times New Roman" w:hAnsi="Times New Roman" w:cs="Times New Roman"/>
          <w:color w:val="000000"/>
          <w:sz w:val="20"/>
        </w:rPr>
        <w:t>KazSat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3" с общей пропускной способностью 2 160 МГц. 16 операторов связи через 7 000 земных станций предоставляют услуги спутниковой и сотовой связи. По данным национальной сети спут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никового телерадиовещания "</w:t>
      </w:r>
      <w:r w:rsidRPr="00AD7D00">
        <w:rPr>
          <w:rFonts w:ascii="Times New Roman" w:hAnsi="Times New Roman" w:cs="Times New Roman"/>
          <w:color w:val="000000"/>
          <w:sz w:val="20"/>
        </w:rPr>
        <w:t>OTAU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TV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" по итогам 2015 года общее количество абонентов цифрового телерадиовещания превысило 1 млн. По состоянию на июль 2017 года внедрено 356 радиотелевизионных станций, обеспечивающих 77% населения страны цифровым наземным тел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евещанием.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2019 году на Всемирной конференции радиосвязи (ВКР-19) МСЭ ожидается принятие стандартов нового поколения мобильной связи 5</w:t>
      </w:r>
      <w:r w:rsidRPr="00AD7D00">
        <w:rPr>
          <w:rFonts w:ascii="Times New Roman" w:hAnsi="Times New Roman" w:cs="Times New Roman"/>
          <w:color w:val="000000"/>
          <w:sz w:val="20"/>
        </w:rPr>
        <w:t>G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. В зависимости от принятых стандартов МСЭ уполномоченным органом будет проводиться соответствующая работа по вн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едрению технологий 5</w:t>
      </w:r>
      <w:r w:rsidRPr="00AD7D00">
        <w:rPr>
          <w:rFonts w:ascii="Times New Roman" w:hAnsi="Times New Roman" w:cs="Times New Roman"/>
          <w:color w:val="000000"/>
          <w:sz w:val="20"/>
        </w:rPr>
        <w:t>G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на территории Республики Казахстан.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Обеспечение информационной безопасности в сфере ИКТ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Включение Казахстана в мировую систему информатики и телекоммуникаций уже повлекло многократное увеличение объектов информационно-ком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муникационной инфраструктуры в государственном управлении, бизнесе, системах управления промышленными объектами, расширило сферы оказания услуг ИКТ операторами, обрабатывающими персональные данные граждан.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В последние годы происходит резкий рост угро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з информационной безопасности, направленных как на государственные информационные системы, так и на банковский и промышленный сектора.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По данным аналитического отчета "</w:t>
      </w:r>
      <w:r w:rsidRPr="00AD7D00">
        <w:rPr>
          <w:rFonts w:ascii="Times New Roman" w:hAnsi="Times New Roman" w:cs="Times New Roman"/>
          <w:color w:val="000000"/>
          <w:sz w:val="20"/>
        </w:rPr>
        <w:t>Global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Data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Protection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Index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" компании </w:t>
      </w:r>
      <w:r w:rsidRPr="00AD7D00">
        <w:rPr>
          <w:rFonts w:ascii="Times New Roman" w:hAnsi="Times New Roman" w:cs="Times New Roman"/>
          <w:color w:val="000000"/>
          <w:sz w:val="20"/>
        </w:rPr>
        <w:t>EMC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объемы потерянных данных по всему миру с 2012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года выросли на 400%. Общий объем потерянных данных составил в среднем 2,36 терабайт. Внеплановые простои и потери данных обходятся организациям по всему миру ежегодно более чем в 1,45 млрд. долларов США. Согласно Глобальному индексу кибербезопасности Меж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дународного союза электросвязи в 2017 году Казахстан занял 83 место из 193 стран, то есть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находится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на низком уровне рейтинга. Данный индекс учитывает уровень развития правовой среды, технические предпосылки, организационные меры, развитие компетенций и ко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операцию внутри и вне страны.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Одновременно с развитием сетей широкополосного доступа, преобразованиями в информационно-коммуникационной инфраструктуре, переводом бизнес-процессов хозяйствующих субъектов в "онлайн" среду и автоматизацией технологичес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ких процессов в промышленности, энергетике, банковской деятельности и сфере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ИКТ-услуг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необходимо одновременно проводить продуманную и последовательную политику обеспечения безопасности информационного пространства и инфраструктуры связи.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Основные пр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облемы и угрозы безопасности в сфере использования ИКТ, влияющие на эффективность процессов цифровизации экономики Казахстана, меры по их преодолению нашли отражение в Концепции кибербезопасности "Киберщит Казахстана" и предусматривают использование довере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нных технологий обеспечения целостности, конфиденциальности, доступности информац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ии и ау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>тентификации пользователей при ее обработке.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Эффективная реализация мероприятий по цифровизации экономики Республики Казахстан будет обеспечена только при обеспеч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ении единства, устойчивости и безопасности информационно-коммуникационной инфраструктуры, сохранности данных и доверии граждан к процессам, в основе которых лежат решения, основанные на использовании ИКТ.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b/>
          <w:color w:val="000000"/>
          <w:sz w:val="20"/>
          <w:lang w:val="ru-RU"/>
        </w:rPr>
        <w:t>3.4. Развитие человеческого капитала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Цифровая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экономика требует наличия у населения цифровых навыков, позволяющих пользоваться ее плодами. При этом в настоящее время уровень компьютерной (цифровой) грамотности населения составляет 76,2%, и необходим его ро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ст в бл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ижайшие годы. На текущий момент Минист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ерство образования и науки Республики Казахстан уже внедряет ряд инициатив: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1) в 3-4 классах внедрен предмет "Информационно-коммуникационные технологии", формирующий общие базовые знания работы с современными информационными технологиями для их эффек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тивного использования в учебе и повседневной жизни;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2) функционируют 372 кружка по робототехнике, обучающих общим основам программирования в рамках робототехники.</w:t>
      </w:r>
      <w:proofErr w:type="gramEnd"/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Вместе с тем, принимая во внимание новые требования к молодому поколению, назрева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ет необходимость в пересмотре содержания среднего образования через развитие креативного мышления и технических навыков.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техническом и профессиональном, высшем, послевузовском образовании по данным Министерства образования и науки Республики Казах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стан: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1) на базе 3 (трех) специальностей внедрен предмет "Информационно-коммуникационные технологии", формирующий у студентов базовые знания использования ИКТ на практике в рамках выбранной профессии;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2) разрабатываются профессиональные стан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дарты, которые станут основной базой для образовательных программ технического и профессионального, высшего, послевузовского образования.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Также на сегодняшний день за период 2014-2016 годов на подготовку специалистов по специальностям ИКТ было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выделено 14,5 тысяч образовательных грантов, а выпуск за этот же период составил 94 тысячи человек.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При этом на сегодняшний день в экономике страны наблюдается дефицит в специалистах по специальностям ИКТ, имеющих профессиональные знания, умения и на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выки в выбранной профессии.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Цифровизация значительно опережает существующую систему требований производства к составу профессий, занятых на рынке труда. Отсутствие оперативной связи между рынком труда и системой образования может привести одновременн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 к подготовке уже не востребованных кадров и высвобождению кадров по "умирающим" профессиям. Необходимо полностью пересмотреть содержание всех уровней образования через развитие цифровых навыков всех специалистов.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b/>
          <w:color w:val="000000"/>
          <w:sz w:val="20"/>
          <w:lang w:val="ru-RU"/>
        </w:rPr>
        <w:t>3.5. Инновационная экосистема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Реал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ьность сегодня представляет собой бесконечный водоворот перемен, причем они происходят настолько стремительно, что очень важно вовремя приспособиться к новым условиям. Успех в долгосрочной перспективе возможен лишь тогда, когда происходят фундаментальные 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зменения в самой системе, заставляющие эту систему прогрессировать. Именно к таким истинным двигателям прогресса (наряду с человеческим капиталом) относятся стартапы – инструмент обновления и развития, причем не столько экономики в ее физическом измерении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(рост ВВП), сколько трансформации общественного сознания, зарождения новой культуры технического предпринимательства.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Для создания такой культуры появится прослойка технологических предпринимателей. Важно понимать, что за каждым успешным предприним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ателем стоит еще сотня чуть менее успешных, а за ними - тысяча мелких предпринимателей, стремящихся к внедрению новых продуктов и услуг, что само по себе является положительным эффектом для экономики. Необходимо достичь такого состояния, когда дети будут м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ечтать стать предпринимателями и создавать стартапы, своими идеями изменяя Казахстан изнутри.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Эффективно функционирующая экосистема стартапов – это шанс для Казахстана стать "точкой притяжения" лучших умов и генератором прогрессивных идей как в обла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сти ИКТ, так и других отраслях. Это задача не из легких, но даже самое малое промедление в ее реализации способно отложить развитие страны на годы. Именно поэтому сейчас так важно заложить основу для запуска долгосрочных изменений, на что и направлены меро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приятия по развитию экосистемы стартапов.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Ключевыми элементами развитой стартап-среды являются: технологические предприниматели  таланты, которые выступают основным источником инновационных идей; профессиональные инвесторы, занимающиеся "умным" финан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сированием; эффективная экосистема - инфраструктура, поддерживающая развитие предпринимателей.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При реализации программы развития стартап-среды в Казахстане нельзя не принимать во внимание ряд имеющихся сложностей, специфичных для индустрии на данном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этапе развития. Самым важным из них является отсутствие критической массы предпринимателей и венчурного финансирования.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Так, по сравнению с другими странами в Казахстане крайне мало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технологических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стартапов. По имеющимся данным на 2015 год Казахст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ан насчитывал всего около 200 стартапов, в то время как в России их число составляло 3 800, а в Израиле  6 000. Низкий уровень расходов на НИОКР (0,2% от ВВП против 4,1% в Израиле) свидетельствует о риске сохранения такой ситуации в будущем.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Одной из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специфических особенностей стартап-среды в Казахстане является преимущественно государственный характер финансирования стартапов в основном за счет средств Национального агентства технологического развития и автономного кластерного фонда </w:t>
      </w:r>
      <w:r w:rsidRPr="00AD7D00">
        <w:rPr>
          <w:rFonts w:ascii="Times New Roman" w:hAnsi="Times New Roman" w:cs="Times New Roman"/>
          <w:color w:val="000000"/>
          <w:sz w:val="20"/>
        </w:rPr>
        <w:t>Techgarden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, предо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ставляющего ежегодные гранты от 20 тыс. долларов США до 100 тыс. долларов США. В то же время поддержка профессиональных венчурных инвесторов отсутствует или незначительна.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Создание живой экосистемы стартапов – задача на десятилетия. При этом глобальн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ая цель - в создании условий для "серийного" выпуска огромного числа стартапов. В то же время государство может играть роль катализатора изменений.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Понимая, что необходимое условие - это наличие технологических предпринимателей как класса, многие ВУ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Зы Израиля предлагают обязательный курс предпринимательства на технических факультетах. Также развита система "заказов" на технологические проекты, где заказчиками выступают крупные местные и международные компании, а исполнителями студенты. Проводятся рег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улярно лекции и мастер-классы с приглашенными успешными предпринимателями.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Поскольку создать критическую массу казахстанских предпринимателей в краткосрочной перспективе не представляется возможным, необходимо рассмотреть международный опыт. В целом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страны с развитой экосистемой видят в иностранных предпринимателях и технологических специалистах источник специфического ноу-хау, необходимого для развития локальной экосистемы стартапов. Их опыт, а также технологии исследования и разработок, предпринима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тельства, управления  все наработки, которыми способны поделиться иностранные специалисты, могут помочь ускорить формирование локальной экосистемы стартапов. Помимо этого, они обеспечивают разнообразие культур и знаний, что в будущем может стать конкурентн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ым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преимуществом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как самой экосистемы, так и каждого ее участника.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Показателен пример Сингапура, где при наличии хороших ВУЗов потребность в талантах все равно превышала предложение. Решением в краткосрочном периоде стало создание стимулов, таких как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поддержка научных исследований и финансирование для зарубежных ученых, помощь с переездом в Сингапур, введение благоприятных миграционных правил. В долгосрочной перспективе были созданы </w:t>
      </w:r>
      <w:proofErr w:type="gramStart"/>
      <w:r w:rsidRPr="00AD7D00">
        <w:rPr>
          <w:rFonts w:ascii="Times New Roman" w:hAnsi="Times New Roman" w:cs="Times New Roman"/>
          <w:color w:val="000000"/>
          <w:sz w:val="20"/>
        </w:rPr>
        <w:t>c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типендиальные программы, налажено партнерство с Университетом Дьюка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и "Глаксосмитклайн" в целях создания фонда поддержки научных исследований. Сегодня в Сингапуре живут и работают около шести тысяч ученых со всего мира, приблизительно 52% занятых в стартап-индустрии являются иностранцами.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Свою эффективность в привлеч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ении технологических предпринимателей доказали и специальные программы визовой поддержки. В частности, визовая программа "Техническая нация" Великобритании, созданная для сокращения дефицита высококвалифицированных технических предпринимателей в крупных ко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мпаниях и стартапах значительно упростила систему выдачи виз техническим специалистам. Так, в 2014 году правительственной организации </w:t>
      </w:r>
      <w:r w:rsidRPr="00AD7D00">
        <w:rPr>
          <w:rFonts w:ascii="Times New Roman" w:hAnsi="Times New Roman" w:cs="Times New Roman"/>
          <w:color w:val="000000"/>
          <w:sz w:val="20"/>
        </w:rPr>
        <w:t>Tech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City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UK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было предоставлено право выдачи более 200 рабочих британских виз в год для специалистов, не являющихся гражда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нами ЕС, однако обладающими уникальным опытом и компетенциями в приоритетных для Великобритании областях –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ИТ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и информационная безопасность, финансы и др. Технологическим специалистам, работающим вместе, было разрешено подавать групповые заявления на визу.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Такой опыт может быть использован и при создании технопарка "Астана Хаб" для привлечения иностранных технических специалистов и предпринимателей.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На данный момент в Казахстане слабо развит институт венчурного финансирования, нет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крупных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стартапов в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сфере ИКТ, получивших венчурное финансирование на территории Республики Казахстан, слабая предпринимательская инициатива, недостаточно развиты инфраструктуры поддержки стартапов. Существуют финансовые и регуляторные ограничения, а также высокие риски для н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ачинающих предпринимателей. Предпринимательская деятельность и создание стартапов слабо пропагандируются среди школьников и студентов, а число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бизнес-инкубаторов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очень ограничено, всего в стране их около 20, в то время как у одного из лидеров цифровизации,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Китая, их около 400. Основная масса населения отдает предпочтение открытию собственного бизнеса, нежели занятость в качестве наемного работника. С точки зрения создания венчурной отрасли интересен опыт Израиля, который показывает, что государство может ст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ать определяющим звеном в создании основ деятельности венчурного финансирования. Был создан фонд соинвестирования (фонд фондов), который имел мандат на инвестиции в создаваемые фонды до 40% от общей суммы направленных инвестиций при условиях мажоритарного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вложения зарубежного фонда и инвестиций местных финансовых институтов. Каждая управляющая компания фонда имела колл-опцион на государственные акции для их выкупа по первоначальной стоимости (плюс минимальный процент), что создавало дополнительную мотивацию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и по сути "дешевые" деньги. Результатом меры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стало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по сути создание венчурной отрасли Израиля: 100 млн. долларов США государственных инвестиций превратились в 5 млрд. долларов США под управлением созданных фондов через десятилетие.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Австралии в дек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абре 2015 года для поддержки инноваций и науки принята программа "</w:t>
      </w:r>
      <w:r w:rsidRPr="00AD7D00">
        <w:rPr>
          <w:rFonts w:ascii="Times New Roman" w:hAnsi="Times New Roman" w:cs="Times New Roman"/>
          <w:color w:val="000000"/>
          <w:sz w:val="20"/>
        </w:rPr>
        <w:t>National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Innovation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and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Science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Agenda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", направленная на повышение научного потенциала в процесс генерирования знаний, инвестиций в человеческий капитал, переход страны от сырьевой модели ра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звития к диверсифицированной инновационной экономике. Одними из мер стали снижение налога на прирост капитала для стартапов, а также 20%-ные налоговые льготы на доход, не превышающий 200 тысяч долларов США в год, для компаний, занимающихся инновационной де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ятельностью. Всего на реализацию программы выделили 840 млн. долларов США, в том числе на повышение компьютерной грамотности учащихся высших и средних учебных заведений, профессиональную подготовку специалистов в области ИКТ, научно-исследовательскую деяте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льность в ВУЗах, создание Фонда поддержки стартапов и обеспечение доступа австралийских стартапов в Кремниевую долину и другие технологические хабы.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Целевая господдержка стартапов может быть эффективной, однако основной фокус при этом сохраняется на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системных мерах: привлечении казахстанских и зарубежных предпринимателей, поддержке инвесторов, поддержке развития инфраструктурных объектов развитии нормативно-правовой базы, а также стимулировании спроса и обеспечении доступа к нему для малых компаний.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b/>
          <w:color w:val="000000"/>
          <w:sz w:val="20"/>
          <w:lang w:val="ru-RU"/>
        </w:rPr>
        <w:t>4</w:t>
      </w:r>
      <w:r w:rsidRPr="00AD7D00">
        <w:rPr>
          <w:rFonts w:ascii="Times New Roman" w:hAnsi="Times New Roman" w:cs="Times New Roman"/>
          <w:b/>
          <w:color w:val="000000"/>
          <w:sz w:val="20"/>
          <w:lang w:val="ru-RU"/>
        </w:rPr>
        <w:t>. Цели, задачи, целевые индикаторы и показатели результатов реализации Программы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b/>
          <w:color w:val="000000"/>
          <w:sz w:val="20"/>
          <w:lang w:val="ru-RU"/>
        </w:rPr>
        <w:t>Цель Программы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: </w:t>
      </w:r>
      <w:r w:rsidRPr="00AD7D00">
        <w:rPr>
          <w:rFonts w:ascii="Times New Roman" w:hAnsi="Times New Roman" w:cs="Times New Roman"/>
          <w:b/>
          <w:color w:val="000000"/>
          <w:sz w:val="20"/>
          <w:lang w:val="ru-RU"/>
        </w:rPr>
        <w:t>ускорение темпов развития экономики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Республики Казахстан и улучшение качества жизни населения за счет использования цифровых технологий в среднесрочной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перспективе, а также создание условий для перехода экономики Казахстана на </w:t>
      </w:r>
      <w:r w:rsidRPr="00AD7D00">
        <w:rPr>
          <w:rFonts w:ascii="Times New Roman" w:hAnsi="Times New Roman" w:cs="Times New Roman"/>
          <w:b/>
          <w:color w:val="000000"/>
          <w:sz w:val="20"/>
          <w:lang w:val="ru-RU"/>
        </w:rPr>
        <w:t>принципиально новую траекторию развития,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обеспечивающую создание цифровой экономики будущего в долгосрочной перспективе.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012"/>
        <w:gridCol w:w="1606"/>
        <w:gridCol w:w="1431"/>
        <w:gridCol w:w="947"/>
        <w:gridCol w:w="1046"/>
        <w:gridCol w:w="524"/>
        <w:gridCol w:w="524"/>
        <w:gridCol w:w="524"/>
        <w:gridCol w:w="524"/>
        <w:gridCol w:w="524"/>
      </w:tblGrid>
      <w:tr w:rsidR="00CD1B2C" w:rsidRPr="00AD7D00">
        <w:trPr>
          <w:trHeight w:val="30"/>
          <w:tblCellSpacing w:w="0" w:type="auto"/>
        </w:trPr>
        <w:tc>
          <w:tcPr>
            <w:tcW w:w="317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Целевой индикатор</w:t>
            </w:r>
          </w:p>
        </w:tc>
        <w:tc>
          <w:tcPr>
            <w:tcW w:w="148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Ответственный исполнитель</w:t>
            </w:r>
          </w:p>
        </w:tc>
        <w:tc>
          <w:tcPr>
            <w:tcW w:w="64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Источник информа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ции</w:t>
            </w:r>
          </w:p>
        </w:tc>
        <w:tc>
          <w:tcPr>
            <w:tcW w:w="48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Ед. измерения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 том числе по годам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2016/2017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2018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2019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2020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2021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2022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31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4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4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31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1. Рост производительности труда по секции "Горнодобывающая промышленность и разработка карьеров" (к 2016 году)</w:t>
            </w:r>
          </w:p>
        </w:tc>
        <w:tc>
          <w:tcPr>
            <w:tcW w:w="14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МИР, МЭ</w:t>
            </w:r>
          </w:p>
        </w:tc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Статистические данные</w:t>
            </w:r>
          </w:p>
        </w:tc>
        <w:tc>
          <w:tcPr>
            <w:tcW w:w="4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1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8,8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15,5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22,7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30,4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38,9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31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2. Рост производительности труда по секции "Транспорт и складирование" (к 2016 году)</w:t>
            </w:r>
          </w:p>
        </w:tc>
        <w:tc>
          <w:tcPr>
            <w:tcW w:w="14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МИР</w:t>
            </w:r>
          </w:p>
        </w:tc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Статистические данные</w:t>
            </w:r>
          </w:p>
        </w:tc>
        <w:tc>
          <w:tcPr>
            <w:tcW w:w="4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1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3,7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6,5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10,7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16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21,2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31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3. Рост производительности труда по секции "Сельское, лесное и рыбное хозяйство" (к 2016 году)</w:t>
            </w:r>
          </w:p>
        </w:tc>
        <w:tc>
          <w:tcPr>
            <w:tcW w:w="14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Статистические данные</w:t>
            </w:r>
          </w:p>
        </w:tc>
        <w:tc>
          <w:tcPr>
            <w:tcW w:w="4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1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9,4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16,6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28,3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39,2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45,1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31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4. Рост производительности труда по секции "Обрабатывающая промышленность" (к 2016 году)</w:t>
            </w:r>
          </w:p>
        </w:tc>
        <w:tc>
          <w:tcPr>
            <w:tcW w:w="14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МИР, МЭ, МСХ</w:t>
            </w:r>
          </w:p>
        </w:tc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Статистические данные</w:t>
            </w:r>
          </w:p>
        </w:tc>
        <w:tc>
          <w:tcPr>
            <w:tcW w:w="4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10,5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20,5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30,3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39,8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49,8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31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5. Доля электронной торговли в общем объеме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розничной торговли</w:t>
            </w:r>
          </w:p>
        </w:tc>
        <w:tc>
          <w:tcPr>
            <w:tcW w:w="14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МНЭ</w:t>
            </w:r>
          </w:p>
        </w:tc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Статистические данные</w:t>
            </w:r>
          </w:p>
        </w:tc>
        <w:tc>
          <w:tcPr>
            <w:tcW w:w="4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1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1,4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1,7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2,3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2,6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31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6. Рост созданных рабочих мест за счет цифровизации</w:t>
            </w:r>
          </w:p>
        </w:tc>
        <w:tc>
          <w:tcPr>
            <w:tcW w:w="14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МИК, АО "НИКХ "Зерде" (по согласованию)</w:t>
            </w:r>
          </w:p>
        </w:tc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Данные МИК</w:t>
            </w:r>
          </w:p>
        </w:tc>
        <w:tc>
          <w:tcPr>
            <w:tcW w:w="4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тыс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. человек</w:t>
            </w:r>
          </w:p>
        </w:tc>
        <w:tc>
          <w:tcPr>
            <w:tcW w:w="1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50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200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300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31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7. Доля государственных услуг, полученных в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электронном виде, от общего объема государственных услуг</w:t>
            </w:r>
          </w:p>
        </w:tc>
        <w:tc>
          <w:tcPr>
            <w:tcW w:w="14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МИК</w:t>
            </w:r>
          </w:p>
        </w:tc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Данные МИК</w:t>
            </w:r>
          </w:p>
        </w:tc>
        <w:tc>
          <w:tcPr>
            <w:tcW w:w="4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1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25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30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40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50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60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80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31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8. Доля пользователей сети Интернет</w:t>
            </w:r>
          </w:p>
        </w:tc>
        <w:tc>
          <w:tcPr>
            <w:tcW w:w="14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МИК, операторы связи (по согласованию)</w:t>
            </w:r>
          </w:p>
        </w:tc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Статистические данные</w:t>
            </w:r>
          </w:p>
        </w:tc>
        <w:tc>
          <w:tcPr>
            <w:tcW w:w="4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1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77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78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79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80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81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82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31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9. Уровень цифровой грамотности населения</w:t>
            </w:r>
          </w:p>
        </w:tc>
        <w:tc>
          <w:tcPr>
            <w:tcW w:w="14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МИО, МИК, заинтересованные ГО</w:t>
            </w:r>
          </w:p>
        </w:tc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Статистические данные КС МНЭ</w:t>
            </w:r>
          </w:p>
        </w:tc>
        <w:tc>
          <w:tcPr>
            <w:tcW w:w="4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1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77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78,5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80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81,5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83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31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10. Улучшение в рейтинге ГИК ВЭФ по индикатору "Способность к инновациям"</w:t>
            </w:r>
          </w:p>
        </w:tc>
        <w:tc>
          <w:tcPr>
            <w:tcW w:w="14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МИР, МИК</w:t>
            </w:r>
          </w:p>
        </w:tc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Сайт Всемирного экономического форума</w:t>
            </w:r>
          </w:p>
        </w:tc>
        <w:tc>
          <w:tcPr>
            <w:tcW w:w="4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Место в рейтинге</w:t>
            </w:r>
          </w:p>
        </w:tc>
        <w:tc>
          <w:tcPr>
            <w:tcW w:w="1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84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79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75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71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67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63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31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11. Объем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привлеченных инвестиций в стартапы</w:t>
            </w:r>
          </w:p>
        </w:tc>
        <w:tc>
          <w:tcPr>
            <w:tcW w:w="14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МИК, МИР, МНЭ</w:t>
            </w:r>
          </w:p>
        </w:tc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Данные МИК, МИР, МНЭ</w:t>
            </w:r>
          </w:p>
        </w:tc>
        <w:tc>
          <w:tcPr>
            <w:tcW w:w="4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млрд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. тенге</w:t>
            </w:r>
          </w:p>
        </w:tc>
        <w:tc>
          <w:tcPr>
            <w:tcW w:w="1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4,8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15,2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35,9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67,0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31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12. Индекс развития информационно-коммуникационных технологий</w:t>
            </w:r>
          </w:p>
        </w:tc>
        <w:tc>
          <w:tcPr>
            <w:tcW w:w="14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МИК</w:t>
            </w:r>
          </w:p>
        </w:tc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Сайт ООН</w:t>
            </w:r>
          </w:p>
        </w:tc>
        <w:tc>
          <w:tcPr>
            <w:tcW w:w="4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Место в рейтинге</w:t>
            </w:r>
          </w:p>
        </w:tc>
        <w:tc>
          <w:tcPr>
            <w:tcW w:w="1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52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49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44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39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34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30</w:t>
            </w:r>
          </w:p>
        </w:tc>
      </w:tr>
    </w:tbl>
    <w:p w:rsidR="00CD1B2C" w:rsidRPr="00AD7D00" w:rsidRDefault="00B454B1">
      <w:pPr>
        <w:spacing w:after="0"/>
        <w:rPr>
          <w:rFonts w:ascii="Times New Roman" w:hAnsi="Times New Roman" w:cs="Times New Roman"/>
        </w:rPr>
      </w:pPr>
      <w:bookmarkStart w:id="12" w:name="z22"/>
      <w:r w:rsidRPr="00AD7D00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gramStart"/>
      <w:r w:rsidRPr="00AD7D00">
        <w:rPr>
          <w:rFonts w:ascii="Times New Roman" w:hAnsi="Times New Roman" w:cs="Times New Roman"/>
          <w:color w:val="000000"/>
          <w:sz w:val="20"/>
        </w:rPr>
        <w:t>Направление 1.</w:t>
      </w:r>
      <w:proofErr w:type="gramEnd"/>
      <w:r w:rsidRPr="00AD7D00">
        <w:rPr>
          <w:rFonts w:ascii="Times New Roman" w:hAnsi="Times New Roman" w:cs="Times New Roman"/>
          <w:color w:val="000000"/>
          <w:sz w:val="20"/>
        </w:rPr>
        <w:t xml:space="preserve"> Цифровизация </w:t>
      </w:r>
      <w:r w:rsidRPr="00AD7D00">
        <w:rPr>
          <w:rFonts w:ascii="Times New Roman" w:hAnsi="Times New Roman" w:cs="Times New Roman"/>
          <w:color w:val="000000"/>
          <w:sz w:val="20"/>
        </w:rPr>
        <w:t>отраслей экономики</w:t>
      </w:r>
    </w:p>
    <w:p w:rsidR="00CD1B2C" w:rsidRPr="00AD7D00" w:rsidRDefault="00B454B1">
      <w:pPr>
        <w:spacing w:after="0"/>
        <w:rPr>
          <w:rFonts w:ascii="Times New Roman" w:hAnsi="Times New Roman" w:cs="Times New Roman"/>
        </w:rPr>
      </w:pPr>
      <w:bookmarkStart w:id="13" w:name="z23"/>
      <w:bookmarkEnd w:id="12"/>
      <w:r w:rsidRPr="00AD7D00">
        <w:rPr>
          <w:rFonts w:ascii="Times New Roman" w:hAnsi="Times New Roman" w:cs="Times New Roman"/>
          <w:color w:val="000000"/>
          <w:sz w:val="20"/>
        </w:rPr>
        <w:t xml:space="preserve">       </w:t>
      </w:r>
      <w:proofErr w:type="gramStart"/>
      <w:r w:rsidRPr="00AD7D00">
        <w:rPr>
          <w:rFonts w:ascii="Times New Roman" w:hAnsi="Times New Roman" w:cs="Times New Roman"/>
          <w:color w:val="000000"/>
          <w:sz w:val="20"/>
        </w:rPr>
        <w:t>Задача 1.</w:t>
      </w:r>
      <w:proofErr w:type="gramEnd"/>
      <w:r w:rsidRPr="00AD7D00">
        <w:rPr>
          <w:rFonts w:ascii="Times New Roman" w:hAnsi="Times New Roman" w:cs="Times New Roman"/>
          <w:color w:val="000000"/>
          <w:sz w:val="20"/>
        </w:rPr>
        <w:t xml:space="preserve"> Цифровизация промышленности и электроэнергетики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916"/>
        <w:gridCol w:w="1368"/>
        <w:gridCol w:w="1364"/>
        <w:gridCol w:w="947"/>
        <w:gridCol w:w="1157"/>
        <w:gridCol w:w="582"/>
        <w:gridCol w:w="582"/>
        <w:gridCol w:w="582"/>
        <w:gridCol w:w="582"/>
        <w:gridCol w:w="582"/>
      </w:tblGrid>
      <w:tr w:rsidR="00CD1B2C" w:rsidRPr="00AD7D00">
        <w:trPr>
          <w:trHeight w:val="30"/>
          <w:tblCellSpacing w:w="0" w:type="auto"/>
        </w:trPr>
        <w:tc>
          <w:tcPr>
            <w:tcW w:w="299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3"/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41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Ответственный исполнитель</w:t>
            </w:r>
          </w:p>
        </w:tc>
        <w:tc>
          <w:tcPr>
            <w:tcW w:w="64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Источник информации</w:t>
            </w:r>
          </w:p>
        </w:tc>
        <w:tc>
          <w:tcPr>
            <w:tcW w:w="56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Ед. измерения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 том числе по годам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2016/2017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2018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2019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2020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2021</w:t>
            </w:r>
          </w:p>
        </w:tc>
        <w:tc>
          <w:tcPr>
            <w:tcW w:w="11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2022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2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5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21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1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2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1.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Доля предоставленных прав на недропользования онлайн</w:t>
            </w:r>
          </w:p>
        </w:tc>
        <w:tc>
          <w:tcPr>
            <w:tcW w:w="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МЭ</w:t>
            </w:r>
          </w:p>
        </w:tc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Данные МЭ</w:t>
            </w:r>
          </w:p>
        </w:tc>
        <w:tc>
          <w:tcPr>
            <w:tcW w:w="5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21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30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60</w:t>
            </w:r>
          </w:p>
        </w:tc>
        <w:tc>
          <w:tcPr>
            <w:tcW w:w="11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100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2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2.Доля крупных и средних предприятий, использующих цифровые технологии</w:t>
            </w:r>
          </w:p>
        </w:tc>
        <w:tc>
          <w:tcPr>
            <w:tcW w:w="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МИР</w:t>
            </w:r>
          </w:p>
        </w:tc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Данные МИР, статистические данные</w:t>
            </w:r>
          </w:p>
        </w:tc>
        <w:tc>
          <w:tcPr>
            <w:tcW w:w="5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21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1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11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2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3. Темп сокращения потерь при добыче нефти (к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2019 году)</w:t>
            </w:r>
          </w:p>
        </w:tc>
        <w:tc>
          <w:tcPr>
            <w:tcW w:w="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МЭ</w:t>
            </w:r>
          </w:p>
        </w:tc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Данные МЭ</w:t>
            </w:r>
          </w:p>
        </w:tc>
        <w:tc>
          <w:tcPr>
            <w:tcW w:w="5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21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0,1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0,2</w:t>
            </w:r>
          </w:p>
        </w:tc>
        <w:tc>
          <w:tcPr>
            <w:tcW w:w="11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0,3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2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4.Темп сокращения плановых простоев основных фондов НПЗ (к 2019 году)</w:t>
            </w:r>
          </w:p>
        </w:tc>
        <w:tc>
          <w:tcPr>
            <w:tcW w:w="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МЭ</w:t>
            </w:r>
          </w:p>
        </w:tc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Данные МЭ</w:t>
            </w:r>
          </w:p>
        </w:tc>
        <w:tc>
          <w:tcPr>
            <w:tcW w:w="5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21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1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2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5.Доля </w:t>
            </w: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комплектов локальных автоматик предотвращения нарушения устойчивости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энергосистемы (ЛАПНУ), подключенных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к централизованной системе противоаварийной автоматики (ЦСПА)</w:t>
            </w:r>
          </w:p>
        </w:tc>
        <w:tc>
          <w:tcPr>
            <w:tcW w:w="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МЭ</w:t>
            </w:r>
          </w:p>
        </w:tc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Данные МЭ</w:t>
            </w:r>
          </w:p>
        </w:tc>
        <w:tc>
          <w:tcPr>
            <w:tcW w:w="5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21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25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50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11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100</w:t>
            </w:r>
          </w:p>
        </w:tc>
      </w:tr>
    </w:tbl>
    <w:p w:rsidR="00CD1B2C" w:rsidRPr="00AD7D00" w:rsidRDefault="00B454B1">
      <w:pPr>
        <w:spacing w:after="0"/>
        <w:rPr>
          <w:rFonts w:ascii="Times New Roman" w:hAnsi="Times New Roman" w:cs="Times New Roman"/>
        </w:rPr>
      </w:pPr>
      <w:bookmarkStart w:id="14" w:name="z24"/>
      <w:r w:rsidRPr="00AD7D00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gramStart"/>
      <w:r w:rsidRPr="00AD7D00">
        <w:rPr>
          <w:rFonts w:ascii="Times New Roman" w:hAnsi="Times New Roman" w:cs="Times New Roman"/>
          <w:color w:val="000000"/>
          <w:sz w:val="20"/>
        </w:rPr>
        <w:t>Задача 2.</w:t>
      </w:r>
      <w:proofErr w:type="gramEnd"/>
      <w:r w:rsidRPr="00AD7D00">
        <w:rPr>
          <w:rFonts w:ascii="Times New Roman" w:hAnsi="Times New Roman" w:cs="Times New Roman"/>
          <w:color w:val="000000"/>
          <w:sz w:val="20"/>
        </w:rPr>
        <w:t xml:space="preserve"> Цифровизация транспорта и логистики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684"/>
        <w:gridCol w:w="1368"/>
        <w:gridCol w:w="1131"/>
        <w:gridCol w:w="947"/>
        <w:gridCol w:w="1287"/>
        <w:gridCol w:w="649"/>
        <w:gridCol w:w="649"/>
        <w:gridCol w:w="649"/>
        <w:gridCol w:w="649"/>
        <w:gridCol w:w="649"/>
      </w:tblGrid>
      <w:tr w:rsidR="00CD1B2C" w:rsidRPr="00AD7D00">
        <w:trPr>
          <w:trHeight w:val="30"/>
          <w:tblCellSpacing w:w="0" w:type="auto"/>
        </w:trPr>
        <w:tc>
          <w:tcPr>
            <w:tcW w:w="192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4"/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4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Ответственный исполнитель</w:t>
            </w:r>
          </w:p>
        </w:tc>
        <w:tc>
          <w:tcPr>
            <w:tcW w:w="4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Источник информации</w:t>
            </w:r>
          </w:p>
        </w:tc>
        <w:tc>
          <w:tcPr>
            <w:tcW w:w="6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Ед. измерения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 том числе по годам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2016/2017</w:t>
            </w:r>
          </w:p>
        </w:tc>
        <w:tc>
          <w:tcPr>
            <w:tcW w:w="12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2018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2019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2020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2021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2022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19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6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24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2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19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1. Годовой объем транзитных перевозок грузов, перевозимых контейнерами </w:t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МИР</w:t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Данные МИР</w:t>
            </w:r>
          </w:p>
        </w:tc>
        <w:tc>
          <w:tcPr>
            <w:tcW w:w="6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тыс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. ДФЭ</w:t>
            </w:r>
          </w:p>
        </w:tc>
        <w:tc>
          <w:tcPr>
            <w:tcW w:w="24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104</w:t>
            </w:r>
          </w:p>
        </w:tc>
        <w:tc>
          <w:tcPr>
            <w:tcW w:w="12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536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1243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2000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2200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2400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19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2. Доля автомобильных дорог республиканского значения, где используются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цифровые технологии</w:t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МИР</w:t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Данные МИР</w:t>
            </w:r>
          </w:p>
        </w:tc>
        <w:tc>
          <w:tcPr>
            <w:tcW w:w="6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24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0,4</w:t>
            </w:r>
          </w:p>
        </w:tc>
        <w:tc>
          <w:tcPr>
            <w:tcW w:w="12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0,85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22,8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40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80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100</w:t>
            </w:r>
          </w:p>
        </w:tc>
      </w:tr>
    </w:tbl>
    <w:p w:rsidR="00CD1B2C" w:rsidRPr="00AD7D00" w:rsidRDefault="00B454B1">
      <w:pPr>
        <w:spacing w:after="0"/>
        <w:rPr>
          <w:rFonts w:ascii="Times New Roman" w:hAnsi="Times New Roman" w:cs="Times New Roman"/>
        </w:rPr>
      </w:pPr>
      <w:bookmarkStart w:id="15" w:name="z25"/>
      <w:r w:rsidRPr="00AD7D00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gramStart"/>
      <w:r w:rsidRPr="00AD7D00">
        <w:rPr>
          <w:rFonts w:ascii="Times New Roman" w:hAnsi="Times New Roman" w:cs="Times New Roman"/>
          <w:color w:val="000000"/>
          <w:sz w:val="20"/>
        </w:rPr>
        <w:t>Задача 3.</w:t>
      </w:r>
      <w:proofErr w:type="gramEnd"/>
      <w:r w:rsidRPr="00AD7D00">
        <w:rPr>
          <w:rFonts w:ascii="Times New Roman" w:hAnsi="Times New Roman" w:cs="Times New Roman"/>
          <w:color w:val="000000"/>
          <w:sz w:val="20"/>
        </w:rPr>
        <w:t xml:space="preserve"> Цифровизация сельского хозяйства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984"/>
        <w:gridCol w:w="1368"/>
        <w:gridCol w:w="1131"/>
        <w:gridCol w:w="947"/>
        <w:gridCol w:w="1202"/>
        <w:gridCol w:w="606"/>
        <w:gridCol w:w="606"/>
        <w:gridCol w:w="606"/>
        <w:gridCol w:w="606"/>
        <w:gridCol w:w="606"/>
      </w:tblGrid>
      <w:tr w:rsidR="00CD1B2C" w:rsidRPr="00AD7D00">
        <w:trPr>
          <w:trHeight w:val="30"/>
          <w:tblCellSpacing w:w="0" w:type="auto"/>
        </w:trPr>
        <w:tc>
          <w:tcPr>
            <w:tcW w:w="280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5"/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43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Ответственный исполнитель</w:t>
            </w:r>
          </w:p>
        </w:tc>
        <w:tc>
          <w:tcPr>
            <w:tcW w:w="43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Источник информации</w:t>
            </w:r>
          </w:p>
        </w:tc>
        <w:tc>
          <w:tcPr>
            <w:tcW w:w="59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Ед. измерения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 том числе по годам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2016/2017</w:t>
            </w:r>
          </w:p>
        </w:tc>
        <w:tc>
          <w:tcPr>
            <w:tcW w:w="11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2018</w:t>
            </w:r>
          </w:p>
        </w:tc>
        <w:tc>
          <w:tcPr>
            <w:tcW w:w="11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2019</w:t>
            </w:r>
          </w:p>
        </w:tc>
        <w:tc>
          <w:tcPr>
            <w:tcW w:w="11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2020</w:t>
            </w:r>
          </w:p>
        </w:tc>
        <w:tc>
          <w:tcPr>
            <w:tcW w:w="11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2021</w:t>
            </w:r>
          </w:p>
        </w:tc>
        <w:tc>
          <w:tcPr>
            <w:tcW w:w="11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2022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28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4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4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5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2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1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1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1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1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1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28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1. Рост объема экспорта продовольственных товаров (к 2017 году)</w:t>
            </w:r>
          </w:p>
        </w:tc>
        <w:tc>
          <w:tcPr>
            <w:tcW w:w="4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4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Данные МСХ</w:t>
            </w:r>
          </w:p>
        </w:tc>
        <w:tc>
          <w:tcPr>
            <w:tcW w:w="5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2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11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11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27</w:t>
            </w:r>
          </w:p>
        </w:tc>
        <w:tc>
          <w:tcPr>
            <w:tcW w:w="11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44</w:t>
            </w:r>
          </w:p>
        </w:tc>
        <w:tc>
          <w:tcPr>
            <w:tcW w:w="11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61</w:t>
            </w:r>
          </w:p>
        </w:tc>
        <w:tc>
          <w:tcPr>
            <w:tcW w:w="11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69</w:t>
            </w:r>
          </w:p>
        </w:tc>
      </w:tr>
    </w:tbl>
    <w:p w:rsidR="00CD1B2C" w:rsidRPr="00AD7D00" w:rsidRDefault="00B454B1">
      <w:pPr>
        <w:spacing w:after="0"/>
        <w:rPr>
          <w:rFonts w:ascii="Times New Roman" w:hAnsi="Times New Roman" w:cs="Times New Roman"/>
        </w:rPr>
      </w:pPr>
      <w:bookmarkStart w:id="16" w:name="z26"/>
      <w:r w:rsidRPr="00AD7D00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gramStart"/>
      <w:r w:rsidRPr="00AD7D00">
        <w:rPr>
          <w:rFonts w:ascii="Times New Roman" w:hAnsi="Times New Roman" w:cs="Times New Roman"/>
          <w:color w:val="000000"/>
          <w:sz w:val="20"/>
        </w:rPr>
        <w:t>Задача 4.</w:t>
      </w:r>
      <w:proofErr w:type="gramEnd"/>
      <w:r w:rsidRPr="00AD7D00">
        <w:rPr>
          <w:rFonts w:ascii="Times New Roman" w:hAnsi="Times New Roman" w:cs="Times New Roman"/>
          <w:color w:val="000000"/>
          <w:sz w:val="20"/>
        </w:rPr>
        <w:t xml:space="preserve"> Развитие электронной торговли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562"/>
        <w:gridCol w:w="1368"/>
        <w:gridCol w:w="1409"/>
        <w:gridCol w:w="947"/>
        <w:gridCol w:w="1243"/>
        <w:gridCol w:w="626"/>
        <w:gridCol w:w="626"/>
        <w:gridCol w:w="627"/>
        <w:gridCol w:w="627"/>
        <w:gridCol w:w="627"/>
      </w:tblGrid>
      <w:tr w:rsidR="00CD1B2C" w:rsidRPr="00AD7D00">
        <w:trPr>
          <w:trHeight w:val="30"/>
          <w:tblCellSpacing w:w="0" w:type="auto"/>
        </w:trPr>
        <w:tc>
          <w:tcPr>
            <w:tcW w:w="298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6"/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42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Ответственный исполнитель</w:t>
            </w:r>
          </w:p>
        </w:tc>
        <w:tc>
          <w:tcPr>
            <w:tcW w:w="42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Источник информации</w:t>
            </w:r>
          </w:p>
        </w:tc>
        <w:tc>
          <w:tcPr>
            <w:tcW w:w="58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Ед. измерения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в том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числе по годам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2016/2017</w:t>
            </w:r>
          </w:p>
        </w:tc>
        <w:tc>
          <w:tcPr>
            <w:tcW w:w="11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2018</w:t>
            </w:r>
          </w:p>
        </w:tc>
        <w:tc>
          <w:tcPr>
            <w:tcW w:w="11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2019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2020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2021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2022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29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4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4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5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22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1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1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29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1. Рост количества онлайн заказов в розничной торговле (к 2016 году)</w:t>
            </w:r>
          </w:p>
        </w:tc>
        <w:tc>
          <w:tcPr>
            <w:tcW w:w="4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МНЭ</w:t>
            </w:r>
          </w:p>
        </w:tc>
        <w:tc>
          <w:tcPr>
            <w:tcW w:w="4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Статистические данные</w:t>
            </w:r>
          </w:p>
        </w:tc>
        <w:tc>
          <w:tcPr>
            <w:tcW w:w="5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22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11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56</w:t>
            </w:r>
          </w:p>
        </w:tc>
        <w:tc>
          <w:tcPr>
            <w:tcW w:w="11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95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144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205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281</w:t>
            </w:r>
          </w:p>
        </w:tc>
      </w:tr>
    </w:tbl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bookmarkStart w:id="17" w:name="z27"/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Задача 5. Развитие финансовых технологий и безналичных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платежей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667"/>
        <w:gridCol w:w="1368"/>
        <w:gridCol w:w="1131"/>
        <w:gridCol w:w="947"/>
        <w:gridCol w:w="1290"/>
        <w:gridCol w:w="651"/>
        <w:gridCol w:w="652"/>
        <w:gridCol w:w="652"/>
        <w:gridCol w:w="652"/>
        <w:gridCol w:w="652"/>
      </w:tblGrid>
      <w:tr w:rsidR="00CD1B2C" w:rsidRPr="00AD7D00">
        <w:trPr>
          <w:trHeight w:val="30"/>
          <w:tblCellSpacing w:w="0" w:type="auto"/>
        </w:trPr>
        <w:tc>
          <w:tcPr>
            <w:tcW w:w="282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7"/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72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Ответственный исполнитель</w:t>
            </w:r>
          </w:p>
        </w:tc>
        <w:tc>
          <w:tcPr>
            <w:tcW w:w="41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Источник информации</w:t>
            </w:r>
          </w:p>
        </w:tc>
        <w:tc>
          <w:tcPr>
            <w:tcW w:w="5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Ед. измерения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 том числе по годам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2016/2017</w:t>
            </w:r>
          </w:p>
        </w:tc>
        <w:tc>
          <w:tcPr>
            <w:tcW w:w="11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2018</w:t>
            </w:r>
          </w:p>
        </w:tc>
        <w:tc>
          <w:tcPr>
            <w:tcW w:w="11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2019</w:t>
            </w:r>
          </w:p>
        </w:tc>
        <w:tc>
          <w:tcPr>
            <w:tcW w:w="11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2020</w:t>
            </w:r>
          </w:p>
        </w:tc>
        <w:tc>
          <w:tcPr>
            <w:tcW w:w="11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2021</w:t>
            </w:r>
          </w:p>
        </w:tc>
        <w:tc>
          <w:tcPr>
            <w:tcW w:w="11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2022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28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4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2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1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1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1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1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1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28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1. Рост безналичных платежей посредством цифровых технологий (к 2019 году)</w:t>
            </w:r>
          </w:p>
        </w:tc>
        <w:tc>
          <w:tcPr>
            <w:tcW w:w="7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НБ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(по согласованию)</w:t>
            </w:r>
          </w:p>
        </w:tc>
        <w:tc>
          <w:tcPr>
            <w:tcW w:w="4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 Данные НБ </w:t>
            </w:r>
          </w:p>
        </w:tc>
        <w:tc>
          <w:tcPr>
            <w:tcW w:w="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2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11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11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11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18</w:t>
            </w:r>
          </w:p>
        </w:tc>
        <w:tc>
          <w:tcPr>
            <w:tcW w:w="11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27</w:t>
            </w:r>
          </w:p>
        </w:tc>
        <w:tc>
          <w:tcPr>
            <w:tcW w:w="11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35</w:t>
            </w:r>
          </w:p>
        </w:tc>
      </w:tr>
    </w:tbl>
    <w:p w:rsidR="00CD1B2C" w:rsidRPr="00AD7D00" w:rsidRDefault="00B454B1">
      <w:pPr>
        <w:spacing w:after="0"/>
        <w:rPr>
          <w:rFonts w:ascii="Times New Roman" w:hAnsi="Times New Roman" w:cs="Times New Roman"/>
        </w:rPr>
      </w:pPr>
      <w:bookmarkStart w:id="18" w:name="z28"/>
      <w:r w:rsidRPr="00AD7D00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gramStart"/>
      <w:r w:rsidRPr="00AD7D00">
        <w:rPr>
          <w:rFonts w:ascii="Times New Roman" w:hAnsi="Times New Roman" w:cs="Times New Roman"/>
          <w:color w:val="000000"/>
          <w:sz w:val="20"/>
        </w:rPr>
        <w:t>Направление 2.</w:t>
      </w:r>
      <w:proofErr w:type="gramEnd"/>
      <w:r w:rsidRPr="00AD7D00">
        <w:rPr>
          <w:rFonts w:ascii="Times New Roman" w:hAnsi="Times New Roman" w:cs="Times New Roman"/>
          <w:color w:val="000000"/>
          <w:sz w:val="20"/>
        </w:rPr>
        <w:t xml:space="preserve"> Переход на цифровое государство</w:t>
      </w:r>
    </w:p>
    <w:p w:rsidR="00CD1B2C" w:rsidRPr="00AD7D00" w:rsidRDefault="00B454B1">
      <w:pPr>
        <w:spacing w:after="0"/>
        <w:rPr>
          <w:rFonts w:ascii="Times New Roman" w:hAnsi="Times New Roman" w:cs="Times New Roman"/>
        </w:rPr>
      </w:pPr>
      <w:bookmarkStart w:id="19" w:name="z29"/>
      <w:bookmarkEnd w:id="18"/>
      <w:r w:rsidRPr="00AD7D00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gramStart"/>
      <w:r w:rsidRPr="00AD7D00">
        <w:rPr>
          <w:rFonts w:ascii="Times New Roman" w:hAnsi="Times New Roman" w:cs="Times New Roman"/>
          <w:color w:val="000000"/>
          <w:sz w:val="20"/>
        </w:rPr>
        <w:t>Задача 1.</w:t>
      </w:r>
      <w:proofErr w:type="gramEnd"/>
      <w:r w:rsidRPr="00AD7D00">
        <w:rPr>
          <w:rFonts w:ascii="Times New Roman" w:hAnsi="Times New Roman" w:cs="Times New Roman"/>
          <w:color w:val="000000"/>
          <w:sz w:val="20"/>
        </w:rPr>
        <w:t xml:space="preserve"> Государство – гражданам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704"/>
        <w:gridCol w:w="1368"/>
        <w:gridCol w:w="1131"/>
        <w:gridCol w:w="947"/>
        <w:gridCol w:w="1282"/>
        <w:gridCol w:w="646"/>
        <w:gridCol w:w="646"/>
        <w:gridCol w:w="646"/>
        <w:gridCol w:w="646"/>
        <w:gridCol w:w="646"/>
      </w:tblGrid>
      <w:tr w:rsidR="00CD1B2C" w:rsidRPr="00AD7D00">
        <w:trPr>
          <w:trHeight w:val="30"/>
          <w:tblCellSpacing w:w="0" w:type="auto"/>
        </w:trPr>
        <w:tc>
          <w:tcPr>
            <w:tcW w:w="158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9"/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49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Ответственный исполнитель</w:t>
            </w:r>
          </w:p>
        </w:tc>
        <w:tc>
          <w:tcPr>
            <w:tcW w:w="49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Источник информации</w:t>
            </w:r>
          </w:p>
        </w:tc>
        <w:tc>
          <w:tcPr>
            <w:tcW w:w="67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Ед. измерения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 том числе по годам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2016/2017</w:t>
            </w:r>
          </w:p>
        </w:tc>
        <w:tc>
          <w:tcPr>
            <w:tcW w:w="13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2018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2019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2020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2021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2022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15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4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4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6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25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3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15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1.Уровень удовлетворенности населения качеством самостоятельно полученных электронных услуг</w:t>
            </w:r>
          </w:p>
        </w:tc>
        <w:tc>
          <w:tcPr>
            <w:tcW w:w="4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МИК</w:t>
            </w:r>
          </w:p>
        </w:tc>
        <w:tc>
          <w:tcPr>
            <w:tcW w:w="4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 Данные МИК </w:t>
            </w:r>
          </w:p>
        </w:tc>
        <w:tc>
          <w:tcPr>
            <w:tcW w:w="6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25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13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80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81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82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83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84</w:t>
            </w:r>
          </w:p>
        </w:tc>
      </w:tr>
    </w:tbl>
    <w:p w:rsidR="00CD1B2C" w:rsidRPr="00AD7D00" w:rsidRDefault="00B454B1">
      <w:pPr>
        <w:spacing w:after="0"/>
        <w:rPr>
          <w:rFonts w:ascii="Times New Roman" w:hAnsi="Times New Roman" w:cs="Times New Roman"/>
        </w:rPr>
      </w:pPr>
      <w:bookmarkStart w:id="20" w:name="z30"/>
      <w:r w:rsidRPr="00AD7D00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gramStart"/>
      <w:r w:rsidRPr="00AD7D00">
        <w:rPr>
          <w:rFonts w:ascii="Times New Roman" w:hAnsi="Times New Roman" w:cs="Times New Roman"/>
          <w:color w:val="000000"/>
          <w:sz w:val="20"/>
        </w:rPr>
        <w:t>Задача 2.</w:t>
      </w:r>
      <w:proofErr w:type="gramEnd"/>
      <w:r w:rsidRPr="00AD7D00">
        <w:rPr>
          <w:rFonts w:ascii="Times New Roman" w:hAnsi="Times New Roman" w:cs="Times New Roman"/>
          <w:color w:val="000000"/>
          <w:sz w:val="20"/>
        </w:rPr>
        <w:t xml:space="preserve"> Государство – бизнесу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343"/>
        <w:gridCol w:w="1368"/>
        <w:gridCol w:w="1131"/>
        <w:gridCol w:w="947"/>
        <w:gridCol w:w="1103"/>
        <w:gridCol w:w="554"/>
        <w:gridCol w:w="554"/>
        <w:gridCol w:w="554"/>
        <w:gridCol w:w="554"/>
        <w:gridCol w:w="554"/>
      </w:tblGrid>
      <w:tr w:rsidR="00CD1B2C" w:rsidRPr="00AD7D00">
        <w:trPr>
          <w:trHeight w:val="30"/>
          <w:tblCellSpacing w:w="0" w:type="auto"/>
        </w:trPr>
        <w:tc>
          <w:tcPr>
            <w:tcW w:w="409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0"/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36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Ответственный исполнитель</w:t>
            </w:r>
          </w:p>
        </w:tc>
        <w:tc>
          <w:tcPr>
            <w:tcW w:w="6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Источник информации</w:t>
            </w:r>
          </w:p>
        </w:tc>
        <w:tc>
          <w:tcPr>
            <w:tcW w:w="36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Ед. измерения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 том числе по годам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2016/2017</w:t>
            </w:r>
          </w:p>
        </w:tc>
        <w:tc>
          <w:tcPr>
            <w:tcW w:w="9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2018</w:t>
            </w:r>
          </w:p>
        </w:tc>
        <w:tc>
          <w:tcPr>
            <w:tcW w:w="9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2019</w:t>
            </w:r>
          </w:p>
        </w:tc>
        <w:tc>
          <w:tcPr>
            <w:tcW w:w="9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2020</w:t>
            </w:r>
          </w:p>
        </w:tc>
        <w:tc>
          <w:tcPr>
            <w:tcW w:w="9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2021</w:t>
            </w:r>
          </w:p>
        </w:tc>
        <w:tc>
          <w:tcPr>
            <w:tcW w:w="9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2022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40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6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9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9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9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9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9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9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40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1. Позиции в рейтинге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Doing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Business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по индикатору "Налогообложение"</w:t>
            </w:r>
          </w:p>
        </w:tc>
        <w:tc>
          <w:tcPr>
            <w:tcW w:w="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МФ </w:t>
            </w:r>
          </w:p>
        </w:tc>
        <w:tc>
          <w:tcPr>
            <w:tcW w:w="6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Сайт Всемирного банка</w:t>
            </w:r>
          </w:p>
        </w:tc>
        <w:tc>
          <w:tcPr>
            <w:tcW w:w="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Место в рейтинге</w:t>
            </w:r>
          </w:p>
        </w:tc>
        <w:tc>
          <w:tcPr>
            <w:tcW w:w="19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50</w:t>
            </w:r>
          </w:p>
        </w:tc>
        <w:tc>
          <w:tcPr>
            <w:tcW w:w="9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55</w:t>
            </w:r>
          </w:p>
        </w:tc>
        <w:tc>
          <w:tcPr>
            <w:tcW w:w="9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45</w:t>
            </w:r>
          </w:p>
        </w:tc>
        <w:tc>
          <w:tcPr>
            <w:tcW w:w="9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40</w:t>
            </w:r>
          </w:p>
        </w:tc>
        <w:tc>
          <w:tcPr>
            <w:tcW w:w="9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40</w:t>
            </w:r>
          </w:p>
        </w:tc>
        <w:tc>
          <w:tcPr>
            <w:tcW w:w="9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35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40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2. Повышение охвата субъектов частного предпринимательства мерами государственной поддержки за счет автоматизации порядка их предоставления</w:t>
            </w:r>
          </w:p>
        </w:tc>
        <w:tc>
          <w:tcPr>
            <w:tcW w:w="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МНЭ </w:t>
            </w:r>
          </w:p>
        </w:tc>
        <w:tc>
          <w:tcPr>
            <w:tcW w:w="6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 Данные МНЭ, МСХ, МИР </w:t>
            </w:r>
          </w:p>
        </w:tc>
        <w:tc>
          <w:tcPr>
            <w:tcW w:w="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Тыс. субъектов</w:t>
            </w:r>
          </w:p>
        </w:tc>
        <w:tc>
          <w:tcPr>
            <w:tcW w:w="19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9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145</w:t>
            </w:r>
          </w:p>
        </w:tc>
        <w:tc>
          <w:tcPr>
            <w:tcW w:w="9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150</w:t>
            </w:r>
          </w:p>
        </w:tc>
        <w:tc>
          <w:tcPr>
            <w:tcW w:w="9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200</w:t>
            </w:r>
          </w:p>
        </w:tc>
        <w:tc>
          <w:tcPr>
            <w:tcW w:w="9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250</w:t>
            </w:r>
          </w:p>
        </w:tc>
        <w:tc>
          <w:tcPr>
            <w:tcW w:w="9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300</w:t>
            </w:r>
          </w:p>
        </w:tc>
      </w:tr>
    </w:tbl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bookmarkStart w:id="21" w:name="z31"/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Задача 3. Цифровизация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внутренней деятельности государственных органов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308"/>
        <w:gridCol w:w="1368"/>
        <w:gridCol w:w="1131"/>
        <w:gridCol w:w="947"/>
        <w:gridCol w:w="818"/>
        <w:gridCol w:w="818"/>
        <w:gridCol w:w="818"/>
        <w:gridCol w:w="818"/>
        <w:gridCol w:w="818"/>
        <w:gridCol w:w="818"/>
      </w:tblGrid>
      <w:tr w:rsidR="00CD1B2C" w:rsidRPr="00AD7D00">
        <w:trPr>
          <w:trHeight w:val="30"/>
          <w:tblCellSpacing w:w="0" w:type="auto"/>
        </w:trPr>
        <w:tc>
          <w:tcPr>
            <w:tcW w:w="137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1"/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57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Ответственный исполнитель</w:t>
            </w:r>
          </w:p>
        </w:tc>
        <w:tc>
          <w:tcPr>
            <w:tcW w:w="57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Источник информации</w:t>
            </w:r>
          </w:p>
        </w:tc>
        <w:tc>
          <w:tcPr>
            <w:tcW w:w="57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Ед. измерения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 том числе по годам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2016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2018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2019</w:t>
            </w:r>
          </w:p>
        </w:tc>
        <w:tc>
          <w:tcPr>
            <w:tcW w:w="1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2020</w:t>
            </w:r>
          </w:p>
        </w:tc>
        <w:tc>
          <w:tcPr>
            <w:tcW w:w="1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2021</w:t>
            </w:r>
          </w:p>
        </w:tc>
        <w:tc>
          <w:tcPr>
            <w:tcW w:w="1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2022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1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1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1. Индекс развития электронного правительства</w:t>
            </w:r>
          </w:p>
        </w:tc>
        <w:tc>
          <w:tcPr>
            <w:tcW w:w="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МИК</w:t>
            </w:r>
          </w:p>
        </w:tc>
        <w:tc>
          <w:tcPr>
            <w:tcW w:w="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Сайт ООН</w:t>
            </w:r>
          </w:p>
        </w:tc>
        <w:tc>
          <w:tcPr>
            <w:tcW w:w="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позиция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33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30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1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28</w:t>
            </w:r>
          </w:p>
        </w:tc>
        <w:tc>
          <w:tcPr>
            <w:tcW w:w="1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1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25</w:t>
            </w:r>
          </w:p>
        </w:tc>
      </w:tr>
    </w:tbl>
    <w:p w:rsidR="00CD1B2C" w:rsidRPr="00AD7D00" w:rsidRDefault="00B454B1">
      <w:pPr>
        <w:spacing w:after="0"/>
        <w:rPr>
          <w:rFonts w:ascii="Times New Roman" w:hAnsi="Times New Roman" w:cs="Times New Roman"/>
        </w:rPr>
      </w:pPr>
      <w:bookmarkStart w:id="22" w:name="z32"/>
      <w:r w:rsidRPr="00AD7D00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gramStart"/>
      <w:r w:rsidRPr="00AD7D00">
        <w:rPr>
          <w:rFonts w:ascii="Times New Roman" w:hAnsi="Times New Roman" w:cs="Times New Roman"/>
          <w:color w:val="000000"/>
          <w:sz w:val="20"/>
        </w:rPr>
        <w:t>Задача 4.</w:t>
      </w:r>
      <w:proofErr w:type="gramEnd"/>
      <w:r w:rsidRPr="00AD7D00">
        <w:rPr>
          <w:rFonts w:ascii="Times New Roman" w:hAnsi="Times New Roman" w:cs="Times New Roman"/>
          <w:color w:val="000000"/>
          <w:sz w:val="20"/>
        </w:rPr>
        <w:t xml:space="preserve"> "Умные" города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497"/>
        <w:gridCol w:w="1368"/>
        <w:gridCol w:w="1131"/>
        <w:gridCol w:w="947"/>
        <w:gridCol w:w="1339"/>
        <w:gridCol w:w="676"/>
        <w:gridCol w:w="676"/>
        <w:gridCol w:w="676"/>
        <w:gridCol w:w="676"/>
        <w:gridCol w:w="676"/>
      </w:tblGrid>
      <w:tr w:rsidR="00CD1B2C" w:rsidRPr="00AD7D00">
        <w:trPr>
          <w:trHeight w:val="30"/>
          <w:tblCellSpacing w:w="0" w:type="auto"/>
        </w:trPr>
        <w:tc>
          <w:tcPr>
            <w:tcW w:w="251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2"/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4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Ответственный исполнитель</w:t>
            </w:r>
          </w:p>
        </w:tc>
        <w:tc>
          <w:tcPr>
            <w:tcW w:w="4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Источник информации</w:t>
            </w:r>
          </w:p>
        </w:tc>
        <w:tc>
          <w:tcPr>
            <w:tcW w:w="4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Ед. измерения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 том числе по годам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2016/2017</w:t>
            </w:r>
          </w:p>
        </w:tc>
        <w:tc>
          <w:tcPr>
            <w:tcW w:w="12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2018</w:t>
            </w:r>
          </w:p>
        </w:tc>
        <w:tc>
          <w:tcPr>
            <w:tcW w:w="12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2019</w:t>
            </w:r>
          </w:p>
        </w:tc>
        <w:tc>
          <w:tcPr>
            <w:tcW w:w="12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2020</w:t>
            </w:r>
          </w:p>
        </w:tc>
        <w:tc>
          <w:tcPr>
            <w:tcW w:w="12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2021</w:t>
            </w:r>
          </w:p>
        </w:tc>
        <w:tc>
          <w:tcPr>
            <w:tcW w:w="12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2022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2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23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2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2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2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2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2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2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1. Количество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городов Казахстана, вошедших в один из глобальных рейтингов "умных" городов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МИО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 Данные МИО 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ед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</w:p>
        </w:tc>
        <w:tc>
          <w:tcPr>
            <w:tcW w:w="23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12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2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2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2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2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</w:tr>
    </w:tbl>
    <w:p w:rsidR="00CD1B2C" w:rsidRPr="00AD7D00" w:rsidRDefault="00B454B1">
      <w:pPr>
        <w:spacing w:after="0"/>
        <w:rPr>
          <w:rFonts w:ascii="Times New Roman" w:hAnsi="Times New Roman" w:cs="Times New Roman"/>
        </w:rPr>
      </w:pPr>
      <w:bookmarkStart w:id="23" w:name="z33"/>
      <w:r w:rsidRPr="00AD7D00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gramStart"/>
      <w:r w:rsidRPr="00AD7D00">
        <w:rPr>
          <w:rFonts w:ascii="Times New Roman" w:hAnsi="Times New Roman" w:cs="Times New Roman"/>
          <w:color w:val="000000"/>
          <w:sz w:val="20"/>
        </w:rPr>
        <w:t>Направление 3.</w:t>
      </w:r>
      <w:proofErr w:type="gramEnd"/>
      <w:r w:rsidRPr="00AD7D00">
        <w:rPr>
          <w:rFonts w:ascii="Times New Roman" w:hAnsi="Times New Roman" w:cs="Times New Roman"/>
          <w:color w:val="000000"/>
          <w:sz w:val="20"/>
        </w:rPr>
        <w:t xml:space="preserve"> Реализация цифрового Шелкового пути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bookmarkStart w:id="24" w:name="z34"/>
      <w:bookmarkEnd w:id="23"/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Задача 1. Расширение покрытия сетей связи и ИКТ инфраструктуры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593"/>
        <w:gridCol w:w="1368"/>
        <w:gridCol w:w="1409"/>
        <w:gridCol w:w="947"/>
        <w:gridCol w:w="1235"/>
        <w:gridCol w:w="622"/>
        <w:gridCol w:w="622"/>
        <w:gridCol w:w="622"/>
        <w:gridCol w:w="622"/>
        <w:gridCol w:w="622"/>
      </w:tblGrid>
      <w:tr w:rsidR="00CD1B2C" w:rsidRPr="00AD7D00">
        <w:trPr>
          <w:trHeight w:val="30"/>
          <w:tblCellSpacing w:w="0" w:type="auto"/>
        </w:trPr>
        <w:tc>
          <w:tcPr>
            <w:tcW w:w="159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4"/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Показатели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результатов</w:t>
            </w:r>
          </w:p>
        </w:tc>
        <w:tc>
          <w:tcPr>
            <w:tcW w:w="11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Ответственный исполнитель</w:t>
            </w:r>
          </w:p>
        </w:tc>
        <w:tc>
          <w:tcPr>
            <w:tcW w:w="45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Источник информации</w:t>
            </w:r>
          </w:p>
        </w:tc>
        <w:tc>
          <w:tcPr>
            <w:tcW w:w="6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Ед. измерения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 том числе по годам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2016/2017</w:t>
            </w:r>
          </w:p>
        </w:tc>
        <w:tc>
          <w:tcPr>
            <w:tcW w:w="12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2018</w:t>
            </w:r>
          </w:p>
        </w:tc>
        <w:tc>
          <w:tcPr>
            <w:tcW w:w="12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2019</w:t>
            </w:r>
          </w:p>
        </w:tc>
        <w:tc>
          <w:tcPr>
            <w:tcW w:w="12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2020</w:t>
            </w:r>
          </w:p>
        </w:tc>
        <w:tc>
          <w:tcPr>
            <w:tcW w:w="12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2021</w:t>
            </w:r>
          </w:p>
        </w:tc>
        <w:tc>
          <w:tcPr>
            <w:tcW w:w="12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2022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1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4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6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23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2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2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2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2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2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1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1. Уровень проникновения домашних сетей широкополосного доступа в Интернет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МИК, операторы связи (по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согласованию)</w:t>
            </w:r>
          </w:p>
        </w:tc>
        <w:tc>
          <w:tcPr>
            <w:tcW w:w="4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Статистические данные</w:t>
            </w:r>
          </w:p>
        </w:tc>
        <w:tc>
          <w:tcPr>
            <w:tcW w:w="6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23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78</w:t>
            </w:r>
          </w:p>
        </w:tc>
        <w:tc>
          <w:tcPr>
            <w:tcW w:w="12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79</w:t>
            </w:r>
          </w:p>
        </w:tc>
        <w:tc>
          <w:tcPr>
            <w:tcW w:w="12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80</w:t>
            </w:r>
          </w:p>
        </w:tc>
        <w:tc>
          <w:tcPr>
            <w:tcW w:w="12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81</w:t>
            </w:r>
          </w:p>
        </w:tc>
        <w:tc>
          <w:tcPr>
            <w:tcW w:w="12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82</w:t>
            </w:r>
          </w:p>
        </w:tc>
        <w:tc>
          <w:tcPr>
            <w:tcW w:w="12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83</w:t>
            </w:r>
          </w:p>
        </w:tc>
      </w:tr>
    </w:tbl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bookmarkStart w:id="25" w:name="z35"/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Задача 2. Обеспечение информационной безопасности в сфере ИКТ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691"/>
        <w:gridCol w:w="1368"/>
        <w:gridCol w:w="1879"/>
        <w:gridCol w:w="947"/>
        <w:gridCol w:w="1002"/>
        <w:gridCol w:w="555"/>
        <w:gridCol w:w="555"/>
        <w:gridCol w:w="555"/>
        <w:gridCol w:w="555"/>
        <w:gridCol w:w="555"/>
      </w:tblGrid>
      <w:tr w:rsidR="00CD1B2C" w:rsidRPr="00AD7D00">
        <w:trPr>
          <w:trHeight w:val="30"/>
          <w:tblCellSpacing w:w="0" w:type="auto"/>
        </w:trPr>
        <w:tc>
          <w:tcPr>
            <w:tcW w:w="12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5"/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68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Ответственный исполнитель</w:t>
            </w:r>
          </w:p>
        </w:tc>
        <w:tc>
          <w:tcPr>
            <w:tcW w:w="204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Источник информации</w:t>
            </w:r>
          </w:p>
        </w:tc>
        <w:tc>
          <w:tcPr>
            <w:tcW w:w="53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Ед. измерения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 том числе по годам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2016/2017</w:t>
            </w:r>
          </w:p>
        </w:tc>
        <w:tc>
          <w:tcPr>
            <w:tcW w:w="11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2018</w:t>
            </w:r>
          </w:p>
        </w:tc>
        <w:tc>
          <w:tcPr>
            <w:tcW w:w="11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2019</w:t>
            </w:r>
          </w:p>
        </w:tc>
        <w:tc>
          <w:tcPr>
            <w:tcW w:w="11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2020</w:t>
            </w:r>
          </w:p>
        </w:tc>
        <w:tc>
          <w:tcPr>
            <w:tcW w:w="1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2021</w:t>
            </w:r>
          </w:p>
        </w:tc>
        <w:tc>
          <w:tcPr>
            <w:tcW w:w="1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2022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1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6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20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5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20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1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1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1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1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1. Повышение уровня глобального индекса кибербезопасности Республики Казахстан</w:t>
            </w:r>
          </w:p>
        </w:tc>
        <w:tc>
          <w:tcPr>
            <w:tcW w:w="6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КНБ (по согласованию)</w:t>
            </w:r>
          </w:p>
        </w:tc>
        <w:tc>
          <w:tcPr>
            <w:tcW w:w="20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Отчет "Глобальный индекс кибербезопасности и профили по киберблагополучию"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Международного союза электросвязи,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официальный интернет ресурс</w:t>
            </w:r>
          </w:p>
        </w:tc>
        <w:tc>
          <w:tcPr>
            <w:tcW w:w="5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20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0,352</w:t>
            </w:r>
          </w:p>
        </w:tc>
        <w:tc>
          <w:tcPr>
            <w:tcW w:w="11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0,380</w:t>
            </w:r>
          </w:p>
        </w:tc>
        <w:tc>
          <w:tcPr>
            <w:tcW w:w="11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0,400</w:t>
            </w:r>
          </w:p>
        </w:tc>
        <w:tc>
          <w:tcPr>
            <w:tcW w:w="11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0,500</w:t>
            </w:r>
          </w:p>
        </w:tc>
        <w:tc>
          <w:tcPr>
            <w:tcW w:w="1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0,550</w:t>
            </w:r>
          </w:p>
        </w:tc>
        <w:tc>
          <w:tcPr>
            <w:tcW w:w="1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0,600</w:t>
            </w:r>
          </w:p>
        </w:tc>
      </w:tr>
    </w:tbl>
    <w:p w:rsidR="00CD1B2C" w:rsidRPr="00AD7D00" w:rsidRDefault="00B454B1">
      <w:pPr>
        <w:spacing w:after="0"/>
        <w:rPr>
          <w:rFonts w:ascii="Times New Roman" w:hAnsi="Times New Roman" w:cs="Times New Roman"/>
        </w:rPr>
      </w:pPr>
      <w:bookmarkStart w:id="26" w:name="z36"/>
      <w:r w:rsidRPr="00AD7D00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gramStart"/>
      <w:r w:rsidRPr="00AD7D00">
        <w:rPr>
          <w:rFonts w:ascii="Times New Roman" w:hAnsi="Times New Roman" w:cs="Times New Roman"/>
          <w:color w:val="000000"/>
          <w:sz w:val="20"/>
        </w:rPr>
        <w:t>Направление 4.</w:t>
      </w:r>
      <w:proofErr w:type="gramEnd"/>
      <w:r w:rsidRPr="00AD7D00">
        <w:rPr>
          <w:rFonts w:ascii="Times New Roman" w:hAnsi="Times New Roman" w:cs="Times New Roman"/>
          <w:color w:val="000000"/>
          <w:sz w:val="20"/>
        </w:rPr>
        <w:t xml:space="preserve"> Развитие человеческого капитала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bookmarkStart w:id="27" w:name="z37"/>
      <w:bookmarkEnd w:id="26"/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Задача 1. Повышение цифровой грамотности в среднем, техническом и профессиональном, высшем образовании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737"/>
        <w:gridCol w:w="1369"/>
        <w:gridCol w:w="1132"/>
        <w:gridCol w:w="947"/>
        <w:gridCol w:w="1272"/>
        <w:gridCol w:w="641"/>
        <w:gridCol w:w="641"/>
        <w:gridCol w:w="641"/>
        <w:gridCol w:w="641"/>
        <w:gridCol w:w="641"/>
      </w:tblGrid>
      <w:tr w:rsidR="00CD1B2C" w:rsidRPr="00AD7D00">
        <w:trPr>
          <w:trHeight w:val="30"/>
          <w:tblCellSpacing w:w="0" w:type="auto"/>
        </w:trPr>
        <w:tc>
          <w:tcPr>
            <w:tcW w:w="192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7"/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4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Ответственный исполнитель</w:t>
            </w:r>
          </w:p>
        </w:tc>
        <w:tc>
          <w:tcPr>
            <w:tcW w:w="4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Источник информации</w:t>
            </w:r>
          </w:p>
        </w:tc>
        <w:tc>
          <w:tcPr>
            <w:tcW w:w="6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Ед. измерения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 том числе по годам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2016/2017</w:t>
            </w:r>
          </w:p>
        </w:tc>
        <w:tc>
          <w:tcPr>
            <w:tcW w:w="12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2018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2019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2020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2021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2022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19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6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24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2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19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1. Доля школ, внедривших обучение основам программирования с начальной школы</w:t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МИК</w:t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Данные МОН</w:t>
            </w:r>
          </w:p>
        </w:tc>
        <w:tc>
          <w:tcPr>
            <w:tcW w:w="6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24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12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1,3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6,7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13,5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27,1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40,6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19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2. Рост количества выпущенных специалистов с базовыми ИКТ компетенциями</w:t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Данные МОН</w:t>
            </w:r>
          </w:p>
        </w:tc>
        <w:tc>
          <w:tcPr>
            <w:tcW w:w="6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тыс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. человек</w:t>
            </w:r>
          </w:p>
        </w:tc>
        <w:tc>
          <w:tcPr>
            <w:tcW w:w="24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250</w:t>
            </w:r>
          </w:p>
        </w:tc>
        <w:tc>
          <w:tcPr>
            <w:tcW w:w="12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260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270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280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290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300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19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3. Количество выпущенных ИКТ специалистов (ежегодно)</w:t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4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Данные МОН</w:t>
            </w:r>
          </w:p>
        </w:tc>
        <w:tc>
          <w:tcPr>
            <w:tcW w:w="6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тыс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. человек</w:t>
            </w:r>
          </w:p>
        </w:tc>
        <w:tc>
          <w:tcPr>
            <w:tcW w:w="24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17</w:t>
            </w:r>
          </w:p>
        </w:tc>
        <w:tc>
          <w:tcPr>
            <w:tcW w:w="12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18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22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25</w:t>
            </w:r>
          </w:p>
        </w:tc>
        <w:tc>
          <w:tcPr>
            <w:tcW w:w="1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30</w:t>
            </w:r>
          </w:p>
        </w:tc>
      </w:tr>
    </w:tbl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bookmarkStart w:id="28" w:name="z38"/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Задача 2.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Повышение цифровой грамотности населения (подготовка, переподготовка)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691"/>
        <w:gridCol w:w="1368"/>
        <w:gridCol w:w="1131"/>
        <w:gridCol w:w="947"/>
        <w:gridCol w:w="1285"/>
        <w:gridCol w:w="648"/>
        <w:gridCol w:w="648"/>
        <w:gridCol w:w="648"/>
        <w:gridCol w:w="648"/>
        <w:gridCol w:w="648"/>
      </w:tblGrid>
      <w:tr w:rsidR="00CD1B2C" w:rsidRPr="00AD7D00">
        <w:trPr>
          <w:trHeight w:val="30"/>
          <w:tblCellSpacing w:w="0" w:type="auto"/>
        </w:trPr>
        <w:tc>
          <w:tcPr>
            <w:tcW w:w="169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8"/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48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Ответственный исполнитель</w:t>
            </w:r>
          </w:p>
        </w:tc>
        <w:tc>
          <w:tcPr>
            <w:tcW w:w="48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Источник информации</w:t>
            </w:r>
          </w:p>
        </w:tc>
        <w:tc>
          <w:tcPr>
            <w:tcW w:w="6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Ед. измерения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 том числе по годам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2016/2017</w:t>
            </w:r>
          </w:p>
        </w:tc>
        <w:tc>
          <w:tcPr>
            <w:tcW w:w="12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2018</w:t>
            </w:r>
          </w:p>
        </w:tc>
        <w:tc>
          <w:tcPr>
            <w:tcW w:w="12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2019</w:t>
            </w:r>
          </w:p>
        </w:tc>
        <w:tc>
          <w:tcPr>
            <w:tcW w:w="12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2020</w:t>
            </w:r>
          </w:p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2021</w:t>
            </w:r>
          </w:p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2022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1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6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2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2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2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2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1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1. Доля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профессиональных кадров, прошедших обучение цифровой грамотности</w:t>
            </w:r>
          </w:p>
        </w:tc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МИК</w:t>
            </w:r>
          </w:p>
        </w:tc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Данные МИК</w:t>
            </w:r>
          </w:p>
        </w:tc>
        <w:tc>
          <w:tcPr>
            <w:tcW w:w="6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2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12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0,22</w:t>
            </w:r>
          </w:p>
        </w:tc>
        <w:tc>
          <w:tcPr>
            <w:tcW w:w="12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0,44</w:t>
            </w:r>
          </w:p>
        </w:tc>
        <w:tc>
          <w:tcPr>
            <w:tcW w:w="12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0,66</w:t>
            </w:r>
          </w:p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0,88</w:t>
            </w:r>
          </w:p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1,1</w:t>
            </w:r>
          </w:p>
        </w:tc>
      </w:tr>
    </w:tbl>
    <w:p w:rsidR="00CD1B2C" w:rsidRPr="00AD7D00" w:rsidRDefault="00B454B1">
      <w:pPr>
        <w:spacing w:after="0"/>
        <w:rPr>
          <w:rFonts w:ascii="Times New Roman" w:hAnsi="Times New Roman" w:cs="Times New Roman"/>
        </w:rPr>
      </w:pPr>
      <w:bookmarkStart w:id="29" w:name="z39"/>
      <w:r w:rsidRPr="00AD7D00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gramStart"/>
      <w:r w:rsidRPr="00AD7D00">
        <w:rPr>
          <w:rFonts w:ascii="Times New Roman" w:hAnsi="Times New Roman" w:cs="Times New Roman"/>
          <w:color w:val="000000"/>
          <w:sz w:val="20"/>
        </w:rPr>
        <w:t>Направление 5.</w:t>
      </w:r>
      <w:proofErr w:type="gramEnd"/>
      <w:r w:rsidRPr="00AD7D00">
        <w:rPr>
          <w:rFonts w:ascii="Times New Roman" w:hAnsi="Times New Roman" w:cs="Times New Roman"/>
          <w:color w:val="000000"/>
          <w:sz w:val="20"/>
        </w:rPr>
        <w:t xml:space="preserve"> Создание инновационной экосистемы</w:t>
      </w:r>
    </w:p>
    <w:p w:rsidR="00CD1B2C" w:rsidRPr="00AD7D00" w:rsidRDefault="00B454B1">
      <w:pPr>
        <w:spacing w:after="0"/>
        <w:rPr>
          <w:rFonts w:ascii="Times New Roman" w:hAnsi="Times New Roman" w:cs="Times New Roman"/>
        </w:rPr>
      </w:pPr>
      <w:bookmarkStart w:id="30" w:name="z40"/>
      <w:bookmarkEnd w:id="29"/>
      <w:r w:rsidRPr="00AD7D00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gramStart"/>
      <w:r w:rsidRPr="00AD7D00">
        <w:rPr>
          <w:rFonts w:ascii="Times New Roman" w:hAnsi="Times New Roman" w:cs="Times New Roman"/>
          <w:color w:val="000000"/>
          <w:sz w:val="20"/>
        </w:rPr>
        <w:t>Задача 1.</w:t>
      </w:r>
      <w:proofErr w:type="gramEnd"/>
      <w:r w:rsidRPr="00AD7D00">
        <w:rPr>
          <w:rFonts w:ascii="Times New Roman" w:hAnsi="Times New Roman" w:cs="Times New Roman"/>
          <w:color w:val="000000"/>
          <w:sz w:val="20"/>
        </w:rPr>
        <w:t xml:space="preserve"> Поддержка площадок инновационного развития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528"/>
        <w:gridCol w:w="1745"/>
        <w:gridCol w:w="1131"/>
        <w:gridCol w:w="947"/>
        <w:gridCol w:w="1224"/>
        <w:gridCol w:w="617"/>
        <w:gridCol w:w="617"/>
        <w:gridCol w:w="617"/>
        <w:gridCol w:w="618"/>
        <w:gridCol w:w="618"/>
      </w:tblGrid>
      <w:tr w:rsidR="00CD1B2C" w:rsidRPr="00AD7D00">
        <w:trPr>
          <w:trHeight w:val="30"/>
          <w:tblCellSpacing w:w="0" w:type="auto"/>
        </w:trPr>
        <w:tc>
          <w:tcPr>
            <w:tcW w:w="149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0"/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272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Ответственный исполнитель</w:t>
            </w:r>
          </w:p>
        </w:tc>
        <w:tc>
          <w:tcPr>
            <w:tcW w:w="39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Источник информации</w:t>
            </w:r>
          </w:p>
        </w:tc>
        <w:tc>
          <w:tcPr>
            <w:tcW w:w="39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Ед. измерения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 том числе по годам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2016/2017</w:t>
            </w:r>
          </w:p>
        </w:tc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2018</w:t>
            </w:r>
          </w:p>
        </w:tc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2019</w:t>
            </w:r>
          </w:p>
        </w:tc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2020</w:t>
            </w:r>
          </w:p>
        </w:tc>
        <w:tc>
          <w:tcPr>
            <w:tcW w:w="10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2021</w:t>
            </w:r>
          </w:p>
        </w:tc>
        <w:tc>
          <w:tcPr>
            <w:tcW w:w="10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2022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1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7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3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3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20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0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0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1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1. Количество стартап компаний, поддерживаемых технопарками инкубаторами и акселераторами </w:t>
            </w:r>
          </w:p>
        </w:tc>
        <w:tc>
          <w:tcPr>
            <w:tcW w:w="27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МИК, МИР, АО "НИКХ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"Зерде" (по согласованию), АКФ ПИТ (по согласованию)</w:t>
            </w:r>
          </w:p>
        </w:tc>
        <w:tc>
          <w:tcPr>
            <w:tcW w:w="3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Данные МИК</w:t>
            </w:r>
          </w:p>
        </w:tc>
        <w:tc>
          <w:tcPr>
            <w:tcW w:w="3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Ед.</w:t>
            </w:r>
          </w:p>
        </w:tc>
        <w:tc>
          <w:tcPr>
            <w:tcW w:w="20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200</w:t>
            </w:r>
          </w:p>
        </w:tc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300</w:t>
            </w:r>
          </w:p>
        </w:tc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500</w:t>
            </w:r>
          </w:p>
        </w:tc>
        <w:tc>
          <w:tcPr>
            <w:tcW w:w="10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800</w:t>
            </w:r>
          </w:p>
        </w:tc>
        <w:tc>
          <w:tcPr>
            <w:tcW w:w="10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1000</w:t>
            </w:r>
          </w:p>
        </w:tc>
      </w:tr>
    </w:tbl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bookmarkStart w:id="31" w:name="z41"/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Задача 2. Развитие технологического предпринимательства, стартап культуры и НИОКР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171"/>
        <w:gridCol w:w="1375"/>
        <w:gridCol w:w="1608"/>
        <w:gridCol w:w="947"/>
        <w:gridCol w:w="1016"/>
        <w:gridCol w:w="509"/>
        <w:gridCol w:w="509"/>
        <w:gridCol w:w="509"/>
        <w:gridCol w:w="509"/>
        <w:gridCol w:w="509"/>
      </w:tblGrid>
      <w:tr w:rsidR="00CD1B2C" w:rsidRPr="00AD7D00">
        <w:trPr>
          <w:trHeight w:val="30"/>
          <w:tblCellSpacing w:w="0" w:type="auto"/>
        </w:trPr>
        <w:tc>
          <w:tcPr>
            <w:tcW w:w="340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1"/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141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Ответственный исполнитель</w:t>
            </w:r>
          </w:p>
        </w:tc>
        <w:tc>
          <w:tcPr>
            <w:tcW w:w="133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Источник информации</w:t>
            </w:r>
          </w:p>
        </w:tc>
        <w:tc>
          <w:tcPr>
            <w:tcW w:w="31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Ед.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измерения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 том числе по годам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2016/2017</w:t>
            </w:r>
          </w:p>
        </w:tc>
        <w:tc>
          <w:tcPr>
            <w:tcW w:w="8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2018</w:t>
            </w:r>
          </w:p>
        </w:tc>
        <w:tc>
          <w:tcPr>
            <w:tcW w:w="8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2019</w:t>
            </w:r>
          </w:p>
        </w:tc>
        <w:tc>
          <w:tcPr>
            <w:tcW w:w="8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2020</w:t>
            </w:r>
          </w:p>
        </w:tc>
        <w:tc>
          <w:tcPr>
            <w:tcW w:w="8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2021</w:t>
            </w:r>
          </w:p>
        </w:tc>
        <w:tc>
          <w:tcPr>
            <w:tcW w:w="8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2022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3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3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6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8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8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8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8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8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3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1. Количество поданных международных заявок на патенты от компаний/физических лиц резидентов РК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МИК</w:t>
            </w:r>
          </w:p>
        </w:tc>
        <w:tc>
          <w:tcPr>
            <w:tcW w:w="13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Официальный интернет-ресурс РГП "Национальный институт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интеллектуальной собственности" МЮ РК.</w:t>
            </w:r>
          </w:p>
        </w:tc>
        <w:tc>
          <w:tcPr>
            <w:tcW w:w="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Ед.</w:t>
            </w:r>
          </w:p>
        </w:tc>
        <w:tc>
          <w:tcPr>
            <w:tcW w:w="16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8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1250</w:t>
            </w:r>
          </w:p>
        </w:tc>
        <w:tc>
          <w:tcPr>
            <w:tcW w:w="8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1300</w:t>
            </w:r>
          </w:p>
        </w:tc>
        <w:tc>
          <w:tcPr>
            <w:tcW w:w="8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1365</w:t>
            </w:r>
          </w:p>
        </w:tc>
        <w:tc>
          <w:tcPr>
            <w:tcW w:w="8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1433</w:t>
            </w:r>
          </w:p>
        </w:tc>
        <w:tc>
          <w:tcPr>
            <w:tcW w:w="8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1505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3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2. Рост количества стартапов, </w:t>
            </w: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прошедших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программу акселерации, в технопарке "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Astana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Hub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"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МИК, АО "НИКХ "Зерде" (по согласованию), </w:t>
            </w:r>
          </w:p>
        </w:tc>
        <w:tc>
          <w:tcPr>
            <w:tcW w:w="13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Данные МИК</w:t>
            </w:r>
          </w:p>
        </w:tc>
        <w:tc>
          <w:tcPr>
            <w:tcW w:w="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Ед.</w:t>
            </w:r>
          </w:p>
        </w:tc>
        <w:tc>
          <w:tcPr>
            <w:tcW w:w="16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8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33</w:t>
            </w:r>
          </w:p>
        </w:tc>
        <w:tc>
          <w:tcPr>
            <w:tcW w:w="8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90</w:t>
            </w:r>
          </w:p>
        </w:tc>
        <w:tc>
          <w:tcPr>
            <w:tcW w:w="8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150</w:t>
            </w:r>
          </w:p>
        </w:tc>
        <w:tc>
          <w:tcPr>
            <w:tcW w:w="8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220</w:t>
            </w:r>
          </w:p>
        </w:tc>
        <w:tc>
          <w:tcPr>
            <w:tcW w:w="8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298</w:t>
            </w:r>
          </w:p>
        </w:tc>
      </w:tr>
    </w:tbl>
    <w:p w:rsidR="00CD1B2C" w:rsidRPr="00AD7D00" w:rsidRDefault="00B454B1">
      <w:pPr>
        <w:spacing w:after="0"/>
        <w:rPr>
          <w:rFonts w:ascii="Times New Roman" w:hAnsi="Times New Roman" w:cs="Times New Roman"/>
        </w:rPr>
      </w:pPr>
      <w:bookmarkStart w:id="32" w:name="z42"/>
      <w:r w:rsidRPr="00AD7D00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gramStart"/>
      <w:r w:rsidRPr="00AD7D00">
        <w:rPr>
          <w:rFonts w:ascii="Times New Roman" w:hAnsi="Times New Roman" w:cs="Times New Roman"/>
          <w:color w:val="000000"/>
          <w:sz w:val="20"/>
        </w:rPr>
        <w:t>Задача 3.</w:t>
      </w:r>
      <w:proofErr w:type="gramEnd"/>
      <w:r w:rsidRPr="00AD7D00">
        <w:rPr>
          <w:rFonts w:ascii="Times New Roman" w:hAnsi="Times New Roman" w:cs="Times New Roman"/>
          <w:color w:val="000000"/>
          <w:sz w:val="20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Привлечение "венчурного" финансирования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480"/>
        <w:gridCol w:w="1369"/>
        <w:gridCol w:w="1431"/>
        <w:gridCol w:w="947"/>
        <w:gridCol w:w="1260"/>
        <w:gridCol w:w="635"/>
        <w:gridCol w:w="635"/>
        <w:gridCol w:w="635"/>
        <w:gridCol w:w="635"/>
        <w:gridCol w:w="635"/>
      </w:tblGrid>
      <w:tr w:rsidR="00CD1B2C" w:rsidRPr="00AD7D00">
        <w:trPr>
          <w:trHeight w:val="30"/>
          <w:tblCellSpacing w:w="0" w:type="auto"/>
        </w:trPr>
        <w:tc>
          <w:tcPr>
            <w:tcW w:w="228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2"/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Ответственный исполнитель</w:t>
            </w:r>
          </w:p>
        </w:tc>
        <w:tc>
          <w:tcPr>
            <w:tcW w:w="58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Источник информации</w:t>
            </w:r>
          </w:p>
        </w:tc>
        <w:tc>
          <w:tcPr>
            <w:tcW w:w="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Ед. измерения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 том числе по годам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2016/2017</w:t>
            </w:r>
          </w:p>
        </w:tc>
        <w:tc>
          <w:tcPr>
            <w:tcW w:w="1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2018</w:t>
            </w:r>
          </w:p>
        </w:tc>
        <w:tc>
          <w:tcPr>
            <w:tcW w:w="1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2019</w:t>
            </w:r>
          </w:p>
        </w:tc>
        <w:tc>
          <w:tcPr>
            <w:tcW w:w="1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2020</w:t>
            </w:r>
          </w:p>
        </w:tc>
        <w:tc>
          <w:tcPr>
            <w:tcW w:w="12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2021</w:t>
            </w:r>
          </w:p>
        </w:tc>
        <w:tc>
          <w:tcPr>
            <w:tcW w:w="12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2022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2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23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2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2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2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1. Улучшение в рейтинге ГИК ВЭФ по индикатору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"Доступность венчурного капитала"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МИР</w:t>
            </w:r>
          </w:p>
        </w:tc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Сайт Всемирного экономического форума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позиция</w:t>
            </w:r>
          </w:p>
        </w:tc>
        <w:tc>
          <w:tcPr>
            <w:tcW w:w="23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102</w:t>
            </w:r>
          </w:p>
        </w:tc>
        <w:tc>
          <w:tcPr>
            <w:tcW w:w="1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1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95</w:t>
            </w:r>
          </w:p>
        </w:tc>
        <w:tc>
          <w:tcPr>
            <w:tcW w:w="1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90</w:t>
            </w:r>
          </w:p>
        </w:tc>
        <w:tc>
          <w:tcPr>
            <w:tcW w:w="12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85</w:t>
            </w:r>
          </w:p>
        </w:tc>
        <w:tc>
          <w:tcPr>
            <w:tcW w:w="12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80</w:t>
            </w:r>
          </w:p>
        </w:tc>
      </w:tr>
    </w:tbl>
    <w:p w:rsidR="00CD1B2C" w:rsidRPr="00AD7D00" w:rsidRDefault="00B454B1">
      <w:pPr>
        <w:spacing w:after="0"/>
        <w:rPr>
          <w:rFonts w:ascii="Times New Roman" w:hAnsi="Times New Roman" w:cs="Times New Roman"/>
        </w:rPr>
      </w:pPr>
      <w:bookmarkStart w:id="33" w:name="z43"/>
      <w:r w:rsidRPr="00AD7D00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gramStart"/>
      <w:r w:rsidRPr="00AD7D00">
        <w:rPr>
          <w:rFonts w:ascii="Times New Roman" w:hAnsi="Times New Roman" w:cs="Times New Roman"/>
          <w:color w:val="000000"/>
          <w:sz w:val="20"/>
        </w:rPr>
        <w:t>Задача 4.</w:t>
      </w:r>
      <w:proofErr w:type="gramEnd"/>
      <w:r w:rsidRPr="00AD7D00">
        <w:rPr>
          <w:rFonts w:ascii="Times New Roman" w:hAnsi="Times New Roman" w:cs="Times New Roman"/>
          <w:color w:val="000000"/>
          <w:sz w:val="20"/>
        </w:rPr>
        <w:t xml:space="preserve"> Формирование спроса на инновации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501"/>
        <w:gridCol w:w="1512"/>
        <w:gridCol w:w="1256"/>
        <w:gridCol w:w="947"/>
        <w:gridCol w:w="1261"/>
        <w:gridCol w:w="637"/>
        <w:gridCol w:w="637"/>
        <w:gridCol w:w="637"/>
        <w:gridCol w:w="637"/>
        <w:gridCol w:w="637"/>
      </w:tblGrid>
      <w:tr w:rsidR="00CD1B2C" w:rsidRPr="00AD7D00">
        <w:trPr>
          <w:trHeight w:val="30"/>
          <w:tblCellSpacing w:w="0" w:type="auto"/>
        </w:trPr>
        <w:tc>
          <w:tcPr>
            <w:tcW w:w="19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3"/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179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Ответственный исполнитель</w:t>
            </w:r>
          </w:p>
        </w:tc>
        <w:tc>
          <w:tcPr>
            <w:tcW w:w="109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Источник информации</w:t>
            </w:r>
          </w:p>
        </w:tc>
        <w:tc>
          <w:tcPr>
            <w:tcW w:w="51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Ед. измерения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в том числе по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годам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2016/2017</w:t>
            </w:r>
          </w:p>
        </w:tc>
        <w:tc>
          <w:tcPr>
            <w:tcW w:w="1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2018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2019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2020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2021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2022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19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7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0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9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19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1. Доля </w:t>
            </w: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ИТ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услуг в общем объеме ИТ рынка в сопоставимых с развитыми странами цифрах</w:t>
            </w:r>
          </w:p>
        </w:tc>
        <w:tc>
          <w:tcPr>
            <w:tcW w:w="17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МИК</w:t>
            </w:r>
          </w:p>
        </w:tc>
        <w:tc>
          <w:tcPr>
            <w:tcW w:w="10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Официальные данные IDC</w:t>
            </w:r>
          </w:p>
        </w:tc>
        <w:tc>
          <w:tcPr>
            <w:tcW w:w="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19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1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15,6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19,7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23,8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27,9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32,4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19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2. Доля местного содержания в </w:t>
            </w: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ИТ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услугах</w:t>
            </w:r>
          </w:p>
        </w:tc>
        <w:tc>
          <w:tcPr>
            <w:tcW w:w="17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МИК,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АО "НИКХ "Зерде" (по согласованию), ЦГО</w:t>
            </w:r>
          </w:p>
        </w:tc>
        <w:tc>
          <w:tcPr>
            <w:tcW w:w="10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Данные МИР</w:t>
            </w:r>
          </w:p>
        </w:tc>
        <w:tc>
          <w:tcPr>
            <w:tcW w:w="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19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1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26,8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37,6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48,4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59,2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70</w:t>
            </w:r>
          </w:p>
        </w:tc>
      </w:tr>
    </w:tbl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b/>
          <w:color w:val="000000"/>
          <w:sz w:val="20"/>
          <w:lang w:val="ru-RU"/>
        </w:rPr>
        <w:t>5. Основные направления, пути достижения поставленных целей Программы и соответствующие меры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Программа предполагает реализацию комплекса взаимосвязанных мер, которые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необходимо реализовать для достижения ключевой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амбициозной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цели - создания инновационной экономики, вхождения в 30 развитых стран к 2050 году и преобразования общества и производства таким образом, чтобы не остаться за бортом современного технологического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мира. Достижение этой цели требует консолидации и мобилизации всего общества, совершения прорыва в короткий промежуток времени.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 учетом постоянного появления новых технологий, инновационных методов и инструментов в сфере ИКТ, в случае необходимости,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рамках Программы будут реализованы дополнительные инициативы.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b/>
          <w:color w:val="000000"/>
          <w:sz w:val="20"/>
          <w:lang w:val="ru-RU"/>
        </w:rPr>
        <w:t xml:space="preserve">5.1. Цифровизация отраслей экономики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Успешная реализация данного направления к 2022 году будет означать наличие следующих достижений: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1. Повышение уровня производительности труда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до уровня ТОП-30 стран мира в каждой из приоритетных отраслей.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2. Конкурентоспособные экспортные производства в приоритетных отраслях.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3. Выход капитализации крупнейших компаний Республики Казахстан на принципиально новый уровень.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4. Раз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витая местная электронная торговля.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5. Снижение доли теневой экономики до уровня, сопоставимого с ТОП-30 странами мира.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Повсеместное внедрение цифровых технологий придаст импульс развитию традиционных базовых отраслей путем обеспечения роста производительности, повышения их конкурентоспособности, в том числе на международном рынке. Таким образом, в результате цифровиз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ации будет обеспечен рост отечественного экспорта на внешние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рынки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как в сырьевых отраслях, так и агропромышленном комплексе, что, в свою очередь, приведет к росту капитализации крупнейших производственных компаний. Также для роста производительности Прогр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амма предусматривает реализацию комплекса мер по технологическому перевооружению базовых отраслей промышленности, где будут применяться элементы Индустрии 4.0.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рамках мероприятия "Реализация проектов цифровизации крупными компаниями горно-металлу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ргического комплекса" будет реализована сеть связанных через интернет объектов, в том числе датчиков, способных собирать и обмениваться данными, поступающими со встроенных систем.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Специфические требования к оборудованию в рамках реализации проектов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Индустрии 4.0 в Программе будут синхронизованы с требованиями в Государственной программе индустриально-инновационного развития.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долгосрочной перспективе успешное внедрение мер приведет к постепенному изменению структуры экономики, с усилением рол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и электронной торговли, ИКТ и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финансового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секторов, а также отраслей "новой экономики".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Цифровизация промышленности и электроэнергетики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Цифровизация предоставляет обширные возможности для рывка в развитии ключевого для Казахстана сектора экон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омики.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Горнодобывающая промышленность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Видение горнодобывающей промышленности в Казахстане к 2022 году предполагает становление высокопроизводительной индустрии с широким применением автономной техники и системой принятия решений преимущественн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 на основе анализа больших данных. По всей цепочке создания стоимости будут внедряться сенсоры, датчики и передовые аналитические инструменты, позволяющие визуализировать данные, проводить сценарное моделирование и принимать на их основе решения. Кроме то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го, внедрение автономной техники, регулирование основных производственных процессов в автоматическом режиме позволит минимизировать участие человека и повысит уровень безопасности производства.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Основным проектом в области цифровизации добычи руды яв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ляется внедрение цифрового рудника. Цифровые решения позволят улучшить производительность, а также безопасность и техническое обслуживание используемой техники и оборудования.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Создание условий для стимулирования цифровизации промышленности позволит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повысить ее конкурентоспособность за счет улучшения контроля производственных процессов, сокращения потерь, снижения себестоимости продукции, увеличения производительности труда, повышения эффективности и безопасности производства и другое.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Нефтегазо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вая отрасль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Программа включает внедрение технологии интеллектуального месторождения в крупных добывающих компаниях Казахстана. Появление новых инструментов анализа данных и повышение скорости их передачи позволят значительно повысить гибкость в прин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ятии решений и производительность труда. Кроме того, новые технологии позволят снизить затраты на разведку и добычу благодаря получению более качественной и полной информации, что, в свою очередь, повысит эффективность управления запасами, добычей и перера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боткой.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Также для обеспечения прозрачности и снижения уровня теневого оборота будет внедрена система для учета добычи товарной нефти с применением контрольных приборов учета.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Для улучшения и обеспечения прозрачности в сфере распределения соц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иального газа для населения в Программе запланировано мероприятие по развитию системы, предназначенной для сбора информации по поставкам, отслеживанию и обороту сжиженного нефтяного газа для статистического анализа данных на основе обязательной отчетности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и прогнозирования баланса, с интеграцией с автоматизированными площадками онлайн-торгов по закупу социального газа.</w:t>
      </w:r>
      <w:proofErr w:type="gramEnd"/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целях обеспечения эффективности и прозрачности процессов предоставления права недропользования по углеводородному сырью, будет реали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зовано мероприятие по доработке действующей интегрированной информационной системы, предназначенной для проведения онлайн аукциона на предоставление права недропользования и онлайн внесения изменений в контракты и дополнения к ним.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Для обеспечения бе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сперебойной поставки топлива внутри страны в рамках программы будут проведены модернизация ремонтной деятельности и переход на увеличенный межремонтный период на НПЗ РК путем оснащения системами контроля, замены оборудования и внедрения автоматизированной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системы управления техническим обслуживанием и ремонтом.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Добывающие и обрабатывающие сектора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Системообразующими предприятиями горно-металлургической отрасли будут реализованы проекты по внедрению систем управления производственными процессами,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планированием ресурсов предприятия, позиционирования персонала и техники, реализации "умных рудников" на примере внедренного проекта по добыче урана, анализа больших данных и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другое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>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Будут продолжены реструктуризация и модернизация произво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дств с ц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ел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ью повышения производительности труда и экологичности производства. Данное направление предполагает создание условий для стимулирования цифровизации промышленности (внедрение элементов Индустрии 4.0) с целью повышения ее конкурентоспособности за счет улучш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ения контроля производственных процессов, сокращения потерь, снижения себестоимости продукции, увеличения производительности труда, повышения эффективности и безопасности производства и другое.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К основным элементам Индустрии 4.0 относятся, аддитивные техно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логии, коллаборативные роботы, самооптимизируемое оборудование, беспилотные транспортные средства, предиктивное техническое обслуживание, машинное обучение и искусственный интеллект, облачные технологии, цифровой и виртуальный инжиниринг, интеллектуальное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планирование и контроль производства, интеграция информационных систем управления производственными процессами, промышленный интернет, мониторинг состояния систем, дополненная и виртуальная реальность и т.д. </w:t>
      </w:r>
      <w:proofErr w:type="gramEnd"/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Для цифровизации промышленности акцент бу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дет сделан на развитие собственных технологий и компетенций, обеспечение координации между участниками индустриально-инновационной экосистемы, снятие барьеров, популяризацию цифровых технологий и выработку соответствующих стимулирующих мер.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Планирует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ся реализация пилотных проектов по созданию модельных цифровых фабрик в обрабатывающей и горнодобывающей промышленности, где будут внедрены технологии Индустрии 4.0, которые будут служить демонстрацией эффективности внедрения цифровых технологий в производ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стве.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 целью повышения безопасности персонала, работающего на опасных участках, будут проработаны вопросы по изменению нормативных актов, внедрению систем наблюдения, оповещения об авариях, позиционирования и поиска персонала, а также других решений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, предполагающих использование цифровых технологий.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Электроэнергетика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Целевое состояние электроэнергетической отрасли характеризуется дальнейшей интеллектуализацией энергетических систем (</w:t>
      </w:r>
      <w:r w:rsidRPr="00AD7D00">
        <w:rPr>
          <w:rFonts w:ascii="Times New Roman" w:hAnsi="Times New Roman" w:cs="Times New Roman"/>
          <w:color w:val="000000"/>
          <w:sz w:val="20"/>
        </w:rPr>
        <w:t>Smart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Grid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). Интеллектуальная энергосистема будет иметь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способность управлять поведением всех своих участников с целью обеспечения устойчивого, адаптивного, экономически эффективного, надежного и безопасного электроснабжения.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Задача построения и эффективного функционирования интеллектуальной энергосисте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мы затрагивает всех участников электроэнергетической отрасли: генерацию, передачу, распределение, сбыт, потребление и системное оперирование. В этой связи, в соответствии с единой технической политикой, необходимо проведение комплексной модернизации с прим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енением нового оборудования, позволяющего создать условия для интеграции распределительных сетей и электрических станций в интеллектуальную энергосистему. Внедрение полного учета потребляемой и производимой энергий, так называемой системы </w:t>
      </w:r>
      <w:r w:rsidRPr="00AD7D00">
        <w:rPr>
          <w:rFonts w:ascii="Times New Roman" w:hAnsi="Times New Roman" w:cs="Times New Roman"/>
          <w:color w:val="000000"/>
          <w:sz w:val="20"/>
        </w:rPr>
        <w:t>Smart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metering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, 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дальнейшем автоматическая обработка больших данных (</w:t>
      </w:r>
      <w:r w:rsidRPr="00AD7D00">
        <w:rPr>
          <w:rFonts w:ascii="Times New Roman" w:hAnsi="Times New Roman" w:cs="Times New Roman"/>
          <w:color w:val="000000"/>
          <w:sz w:val="20"/>
        </w:rPr>
        <w:t>big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data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) позволят систематизировать управление нагрузкой (</w:t>
      </w:r>
      <w:r w:rsidRPr="00AD7D00">
        <w:rPr>
          <w:rFonts w:ascii="Times New Roman" w:hAnsi="Times New Roman" w:cs="Times New Roman"/>
          <w:color w:val="000000"/>
          <w:sz w:val="20"/>
        </w:rPr>
        <w:t>demand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response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), в том числе за счет совершенствования тарифной политики для конечных потребителей.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целях повышения энергоэффективнос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ти и снижения энергопотерь будет стимулировано внедрение интеллектуальных систем управления энергопотреблением, технологий энергосбережения среди промышленности. Это позволит обеспечить взаимодействие потребителя с энергосистемой, в частности иметь возможн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ость выбирать тарифы, управлять собственным потреблением электроэнергии, вырабатывать электроэнергию в сеть собственными возобновляемыми источниками энергии и продавать электроэнергию.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частности, в Национальной электрической сети планируется реализ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овать инициативы по повышению эффективности и обеспечению надежности функционирования Единой энергетической системы Казахстана, что позволит увеличить передачу электроэнергии по сети, снизить дисбалансы мощности при работе со смежными энергосистемами, сниз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ить количество отключений потребителей при технологических нарушениях в сети.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Планируемые к применению технологии адаптивного управления, основанные на синхронизированных векторных измерениях, предоставят возможность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визуализации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и управления процесс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ов в режиме реального времени. Это позволит проводить мониторинг запасов устойчивости энергосистемы, эффективно использовать оборудование энергосистемы за счет максимального использования пропускной способности ЛЭП, создать новые алгоритмы управления элект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роэнергетической сети по текущим параметрам состояния системы, оценить состояние энергосистемы в режиме онлайн.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Цифровизация транспорта и логистики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Основная задача, которую призвана решить цифровизация сектора, – увеличение объема транзитных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грузоперевозок. Ожидается, что сокращение времени на транзите позволит существенно увеличить объем транзитных грузоперевозок в железнодорожном секторе по всем направлениям из Китая через Казахстан – в Европу, Турцию и Иран. Основной эффект будет получен ка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к за счет перехода на электронный документооборот, в том числе в области авиаперевозок, так и благодаря внедрению интеллектуальной транспортной системы, которая позволит увеличить объем автогрузоперевозок за счет обеспечения качественной и безопасной дорож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ной инфраструктуры между регионами Казахстана и международном сообщении. Интеллектуальная транспортная система объединит функции видеонаблюдения, управления дорожным движением, оповещения водителей о погодных условиях и электронной оплаты транспортных услу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г.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Для системной интеграции транспортных средств, инфраструктуры, пользователей и информационных технологий будет разработана ИТС, состоящая из подкомпонентов с их поэтапным внедрением, в том числе комплекс технических сре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дств дл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>я автоматизации сбора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средств пользования автодорогами, системы безостановочного динамического взвешивания транспортных средств, устанавливаемых на основных автомобильных транспортных коридорах, системы управления дорожным движением. Все это дает возможность информировать води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телей о ситуации на дорогах, создавать системы анализа и прогнозирования климатических условий, использовать системы видео-мониторинга и выявлять нарушения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ПДД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том числе обеспечивать беспрепятственный транзит по территории Казахстана.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Опыт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внедрения ИТС в ряде других стран показывает тенденцию снижения числа пострадавших в результате ДТП на 30% и сокращения затрат на содержание дорог на 15%. Помимо этого, внедрение ИТС позволит уменьшить нагрузку на республиканский бюджет в части содержания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автомобильных дорог за счет сборов с платных участков, увеличить межремонтные сроки дорог на 1 год и увеличить транзитный поток.</w:t>
      </w:r>
      <w:proofErr w:type="gramEnd"/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В сегменте мультимодальных грузовых перевозок базовым условием повышения качества оказываемых услуг станет развитие техни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ческой и эксплуатационной интероперабельности грузовых железнодорожных коридоров, базирующееся на реализации цифровых технологий, создающих безбарьерную транспортную среду.</w:t>
      </w:r>
      <w:proofErr w:type="gramEnd"/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Программа также включает ряд мер по повышению эффективности эксплуатации авто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дорог, увеличению эффективности ж/д транспорта, улучшению прогнозирования пассажир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о-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и грузопотоков.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Цифровизация сельского хозяйства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целях дальнейшего развития сельскохозяйственной отрасли страны планируется реализация ряда мероприятий, напр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авленных на автоматизацию прослеживаемости сельскохозяйственной продукции с включением в процесс всех задействованных уполномоченных организаций, что позволит количественно-качественный учет и проследить весь жизненный цикл производства и происхождения агр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опромышленной продукции. Реализация системы прослеживаемости окажет прямое влияние на привлечение инвестиций в отрасль и расширение, как линейки экспортной продукции, так и географии поставок видов сельскохозяйственной продукции и продуктов глубокой перера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ботки. Внедрение полного мониторинга при системе прослеживаемости позволит также повысит стандарты качества сельскохозяйственной продукции, что мультипликативно влияет на привлекательность и конкурентоспособность казахстанской продукции на внешних рынках.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Для внедрения "точного земледелия" будет проведен пилотный проект в ряде фермерских хозяйств с использованием элементов "точного земледелия", включая применение метеорологических станций. По итогам пилотного проекта будет определена экономическая эфф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ективность широкого применения "точного земледелия".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Развитие и внедрение элементов точного земледелия по всем регионам Республики Казахстан предполагаются для упрощения деятельности, повышения урожайности и производительности труда в секторе. Произ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водитель получит возможность принимать решение на основании массива данных, поступающего в режиме реального времени, о состоянии посевов, влаги, питательных элементов, азота, калия, фосфора, вредителей, вероятности осадков. При этом внедрение элементов точ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ного земледелия будет осуществляться в комплексе с приобретением новой сельхозтехники, выполнением агротехнологий и по мере готовности фермеров.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Также предусмотрены мероприятия по автоматизации мониторинга за природными ресурсами, в том числе оборот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ом рыбы и рыбной продукции, охраны, воспроизводства и использования животного мира, мониторинга особо охраняемых природных территорий, учета в области использования и охраны водного фонда, водопользования и надзором водохозяйственных сооружений. Данное мер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оприятие позволит уменьшить, а впоследствии и искоренить браконьерство и теневой оборот рыбной продукции, незаконную вырубку лесных ресурсов, сбор и своевременную обработку информации о деятельности организаций и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предприятий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занимающихся предпринимательско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й деятельностью связанной с природными ресурсами. Мониторинг за водными ресурсами особенно важен в связи с особой значимостью водных ресурсов и водообеспечения для всех секторов экономики Казахстана.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Наряду с созданием новых и развитием действующих г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осударственных информационных систем в АПК Казахстана, обязательным и важным является условие по созданию и внедрению автоматизированных систем в самих сельхозформированиях. Опыт всех ведущих аграрных стран мира является бесспорным примером такого подхода.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Множество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ИТ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решений для всех многочисленных процессов в сельскохозяйственном производстве и переработке напрямую и в основной степени влияют на эффективность ведения бизнеса, повышения производительности труда, рентабельности и в конечном счете конкурент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оспособности агропредприятий, от мелкого фермерского хозяйства до крупных агроформирований.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связи с чем, МСХ будет выстроен прозрачный и просчитанный принцип для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ИТ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сообщества и агроформирований по масштабному внедрению востребованных и эффективных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автоматизированных систем для агробизнеса, а также выработаны механизмы стимулирования применения лучших практик автоматизированных систем в сельскохозяйственном производстве.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Повышение конкурентоспособности отечественной сельскохозяйственной продук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ции и продуктов его переработки тесно связано с необходимостью продвижения и позиционирования отечественной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продукции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как на внутреннем рынке так и экспортные рынки.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рамках решения этих вызовов для развития сбыта агропромышленной продукции будет ре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ализована платформа для электронной торговли между фермерами, оптово-распределительными центрами, торговыми сетями, рынками и стабилизационными продовольственными фондами.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Развитие электронной торговли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Программа предполагает реализацию широког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о комплекса мер, направленных на устранение существующих в стране барьеров для развития Интернет-торговли в целом, а также на увеличение конкурентоспособности местных игроков. Предлагаемые меры лежат в области регулирования электронной торговли, повышения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приема электронных платежей, повышения цифровой и финансовой грамотности населения и предпринимателей, продвижения электронной торговли, развития инфраструктуры и логистики и так далее.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В рамках регулирования будут регламентированы вопросы по повыш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ению защиты прав потребителей в электронной торговле, включающие эффективные дистанционные инструменты подачи обращений в соответствующие органы, возможность возврата товара за счет торговца, внедрение единого реестра участников рынка электронной торговли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и другие, направленные на повышение уровня доверия населения и участников, а также по стимулированию перехода бизнеса в онлайн-торговлю. </w:t>
      </w:r>
      <w:proofErr w:type="gramEnd"/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Приоритетом станет также создание инфраструктуры поддержки, включающей в себя прямые и косвенные меры, в том чис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ле создание центров сервисной поддержки в ведении электронной торговли (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Е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>-</w:t>
      </w:r>
      <w:r w:rsidRPr="00AD7D00">
        <w:rPr>
          <w:rFonts w:ascii="Times New Roman" w:hAnsi="Times New Roman" w:cs="Times New Roman"/>
          <w:color w:val="000000"/>
          <w:sz w:val="20"/>
        </w:rPr>
        <w:t>commerce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и </w:t>
      </w:r>
      <w:r w:rsidRPr="00AD7D00">
        <w:rPr>
          <w:rFonts w:ascii="Times New Roman" w:hAnsi="Times New Roman" w:cs="Times New Roman"/>
          <w:color w:val="000000"/>
          <w:sz w:val="20"/>
        </w:rPr>
        <w:t>Fulfillment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).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Будут проработаны вопросы по расширению перечня товаров собственного производства (работ, услуг) по видам деятельности, соответствующим целям создания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специальной экономической зоны "Парк инновационных технологий", направленной на ускоренное развитие и распространение электронной торговли.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Содействие доступу к льготному финансированию, снижение или исключение некоторых видов налогов для игроков с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феры электронной торговли также повысят конкурентоспособность предпринимателей и будут стимулировать ведение бизнеса онлайн.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рамках повышения приема электронных платежей будут проработаны вопросы по стимулированию внедрения упрощенного механизма ос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уществления мобильных платежей </w:t>
      </w:r>
      <w:r w:rsidRPr="00AD7D00">
        <w:rPr>
          <w:rFonts w:ascii="Times New Roman" w:hAnsi="Times New Roman" w:cs="Times New Roman"/>
          <w:color w:val="000000"/>
          <w:sz w:val="20"/>
        </w:rPr>
        <w:t>c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учетом международного опыта, разработке системы стимулов для предпринимателей по проведению безналичных платежей, обеспечению полного перехода на использование электронной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счет-фактуры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>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Развитие финансовых технологий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и безналичных платежей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Видение цифровой финансовой отрасли в Казахстане к 2022 году предполагает становление проактивного финансового сообщества, играющего ключевую роль в эффективно функционирующей финансовой отрасли с развитой инфраструктурой рынка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платежных услуг.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Финансовый сектор будет трансформирован с использованием технологий, таких как распределенные реестры, предложение новых финансовых инструментов, упрощение и ускорение процедур за счет интеграции с государственными информационными с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истемами. Так, проактивность финансового сообщества предполагает реализацию открытых технологий ("</w:t>
      </w:r>
      <w:r w:rsidRPr="00AD7D00">
        <w:rPr>
          <w:rFonts w:ascii="Times New Roman" w:hAnsi="Times New Roman" w:cs="Times New Roman"/>
          <w:color w:val="000000"/>
          <w:sz w:val="20"/>
        </w:rPr>
        <w:t>Open API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") и в целом активное сотрудничество банков, инфраструктурных компаний и компаний из сферы финансовых технологий друг с другом при поддержке регулятор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а (НБ) для снижения уровня мошенничества в онлайн среде, внедрения новых услуг и продуктов, улучшения клиентского опыта, повышения устойчивости финансовой системы. Для достижения целей по развитию проактивного финансового сектора будут приняты меры, направ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ленные на развитие и появление инновационных организаций, сфокусированных на разработку клиентоориентированных продуктов и услуг, построение экосистем как в части финансовых, так и нефинансовых услуг (ритэйл, финансовый консалтинг и так далее).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Для 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беспечения безопасности, упрощения и развития цифровых услуг, в том числе государственных, социальных и коммерческих, предполагается построить модель удаленной идентификации, в том числе основанной на различных биометрических показателях, исходя из принцип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ов рискориентированного подхода. Модель предполагает идентификацию клиентов с использованием базы данных государственных и коммерческих компаний, а также получение сервиса государственными органами, коммерческими компаниями и в социальной сфере (образовани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е, здравоохранение, перепись населения и другие).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Внедрение цифрового идентификационного механизма станет основополагающей инфраструктурой. Это позволит построить универсальную цифровую среду для взаимодействия и коммуникаций между финансовыми инсти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тутами, клиентами, государственными органами и организациями. Это качественно повысит уровень и эффективность оказания финансовых, государственных и других услуг.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Будут созданы условия для оказания страховыми организациями онлайн-услуг с возможност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ью заключения договоров страхования в электронной форме, электронного обмена информацией между страхователем (выгодоприобретателем) и страховщиком при наступлении страхового случая, оценке ущерба, необходимости изменения условий договора (постпродажное обс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луживание), а также хранения электронного договора в единой базе данных по страхованию и круглосуточного доступа клиента к договору страхования. </w:t>
      </w:r>
      <w:proofErr w:type="gramEnd"/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Внедрение механизмов и стандартов по электронному взаимодействию финансовых организаций, государственны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х органов, граждан и предпринимателей позволит к 2022 году построить "безбумажный", открытый и высококонкурентный финансовый сектор, обеспечивающий безопасность проведения транзакций и снижение транзакционных издержек.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Финансовый сектор предоставит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инструменты для развития электронной торговли и реализации инициатив создания инновационной экосистемы так, чтобы можно было быстро, просто и надежно проводить платежи, проверять контрагентов, получать доступ к финансовым инструментам для развития бизнеса,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 инструментам поддержки со стороны государства.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Вкупе с построением инфраструктуры для безбумажного выставления счетов-фактур, а также иных документов по договорным отношениям, необходимы модернизация системы межбанковских расчетов и возможность ос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уществления межбанковских переводов в режиме реального времени, что позволило бы снизить транзакционные издержки МСБ, повысить доверие участников В2В-рынка к инструментам безналичных расчетов, а также развивать прямые расчеты между лицами (физическими и юр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идическими).</w:t>
      </w:r>
      <w:proofErr w:type="gramEnd"/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Особое значение будет уделено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разработке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и реализации комплекса мер по стимулированию безналичного оборота. Будут реализованы меры поддержки финансового и нефинансового характера для представителей МСБ, проведение мероприятий совместно с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крупнейшими международными платежными системами, банками и другими участниками рынка по повышению финансовой грамотности населения.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Развитие ИКТ отрасли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Развитие ИКТ отрасли является ключевой составляющей цифровизации всех секторов экономики.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Для обеспечения успешной реализации цифровой повестки страны Программа включает ряд мероприятий, направленных на поддержку ИКТ отрасли.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По оценкам международных экспертов во время всемирного экономического кризиса с 2007 по 2011 годы, когда в других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отраслях происходила стагнация, количество рабочих мест в отрасли И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КТ в стр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анах Организации экономического развития и сотрудничества росло, внося вклад в мировую экономику.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Особенностью отрасли является то, что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ИТ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составляют важнейшую часть современн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ого бизнеса, внося свой вклад в достижение результатов и положительных экономических показателей для других отраслей национальной экономики.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 другой стороны, внедрение информационных технологий требует принятия эффективных мер по обеспечению кибербе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зопасности.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Ключевым направлением развития отрасли ИКТ является обеспечение роста доли услуг в области информационных технологий, так как именно этот источник может обеспечить рост доли местного содержания в отрасли ИКТ и поддержку отечественных малы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х и средних предприятий в сфере ИКТ.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Одной из мер обеспечения кибербезопасности является формирование национального реестра доверенного программного обеспечения и продукции электронной промышленности Республики Казахстан, использование которых станет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приоритетным при формировании и развитии информационной инфраструктуры страны.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Для формирования конкурентоспособной отрасли ИКТ усилия государства будут направлены на создание благоприятной экосистемы предпринимательства в этой отрасли.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Это ст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имулирование спроса на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ИТ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приоритетных и других отраслях экономики, снятие барьеров на пути экспорта товаров и услуг информационных технологий, а также формирование и развитие ряда квалифицированных отечественных ИКТ компаний. Будет разработана и утвержд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ена Дорожная карта по развитию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ИТ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отрасли.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 формированию экосистемы также относятся стимулирование доступа отечественных ИТ-компаний к венчурному финансированию, предоставление грантов на развитие и коммерциализацию перспективных отечественных иннов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ационных технологий, налоговые и другие преференции.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b/>
          <w:color w:val="000000"/>
          <w:sz w:val="20"/>
          <w:lang w:val="ru-RU"/>
        </w:rPr>
        <w:t>5.2. Переход на цифровое государство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Цифровое государство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Цифровая трансформация приводит к возникновению новых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бизнес-моделей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>, включая так называемое проактивное обслуживание на основе данн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ых. Чем больше провайдеры услуг знают о своих клиентах, тем более персонализированные предложения они могут создавать, предоставляя услуги, которые будут максимально соответствовать потребностям клиентов и даже предвосхищать потребности, о которых сами кли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енты могут еще не знать. Это позволит предоставлять услуги гражданам и предпринимателям, предугадывая потребность в той или иной услуге, исходя из анализа транзакций.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Ключевым направлением для трансформации подходов оказания услуг и взаимодействия г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осударства с гражданами и бизнесом станет переход к принципам открытой архитектуры (</w:t>
      </w:r>
      <w:r w:rsidRPr="00AD7D00">
        <w:rPr>
          <w:rFonts w:ascii="Times New Roman" w:hAnsi="Times New Roman" w:cs="Times New Roman"/>
          <w:color w:val="000000"/>
          <w:sz w:val="20"/>
        </w:rPr>
        <w:t>Open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API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), при котором будет выстраиваться качественно новый уровень кооперации с коммерческим сектором. Это позволит эффективно использовать ресурсы, концентрируясь на циф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ровой инфраструктуре, отдавая "последнюю милю" по оказанию государственных услуг неправительственному и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бизнес-сообществу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>. При этом негосударственные информационные ресурсы будут являться фронт-ендом, интегрируя государственные услуги в собственные экосист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емы, на которых граждане и предприниматели смогут инициировать и получать государственные услуги.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Государство-гражданам</w:t>
      </w:r>
      <w:proofErr w:type="gramEnd"/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Будет реализована модель управления, когда не гражданин обращается в госорганы за услугами, а государство, понимая потребно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сти граждан, связывается с ними для оказания государственных услуг без необходимости физического посещения учреждений.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При этом планируется интеграция разрозненных на сегодня информационных систем и каналов коммуникаций для реализации модели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омниканального обслуживания путем создания единого "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фронт-офиса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>", направленного на обеспечение доступности информации и услуг в любое время, в любом месте и на любом устройстве (контакт-центр, веб-портал, интеллектуальные мессенджеры, мобильные приложения,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SMS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-сообщения).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Переход к данной модели позволит гражданам начать услугу с одного канала (портал, мобильное приложение или контакт-центр) и завершить в другом канале (например, подписание будет в центре обслуживания населения).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Первоочередным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ключевым принципом для совершенствования всех процессов (</w:t>
      </w:r>
      <w:r w:rsidRPr="00AD7D00">
        <w:rPr>
          <w:rFonts w:ascii="Times New Roman" w:hAnsi="Times New Roman" w:cs="Times New Roman"/>
          <w:color w:val="000000"/>
          <w:sz w:val="20"/>
        </w:rPr>
        <w:t>G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2</w:t>
      </w:r>
      <w:r w:rsidRPr="00AD7D00">
        <w:rPr>
          <w:rFonts w:ascii="Times New Roman" w:hAnsi="Times New Roman" w:cs="Times New Roman"/>
          <w:color w:val="000000"/>
          <w:sz w:val="20"/>
        </w:rPr>
        <w:t>C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, </w:t>
      </w:r>
      <w:r w:rsidRPr="00AD7D00">
        <w:rPr>
          <w:rFonts w:ascii="Times New Roman" w:hAnsi="Times New Roman" w:cs="Times New Roman"/>
          <w:color w:val="000000"/>
          <w:sz w:val="20"/>
        </w:rPr>
        <w:t>G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2</w:t>
      </w:r>
      <w:r w:rsidRPr="00AD7D00">
        <w:rPr>
          <w:rFonts w:ascii="Times New Roman" w:hAnsi="Times New Roman" w:cs="Times New Roman"/>
          <w:color w:val="000000"/>
          <w:sz w:val="20"/>
        </w:rPr>
        <w:t>B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, </w:t>
      </w:r>
      <w:r w:rsidRPr="00AD7D00">
        <w:rPr>
          <w:rFonts w:ascii="Times New Roman" w:hAnsi="Times New Roman" w:cs="Times New Roman"/>
          <w:color w:val="000000"/>
          <w:sz w:val="20"/>
        </w:rPr>
        <w:t>G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2</w:t>
      </w:r>
      <w:r w:rsidRPr="00AD7D00">
        <w:rPr>
          <w:rFonts w:ascii="Times New Roman" w:hAnsi="Times New Roman" w:cs="Times New Roman"/>
          <w:color w:val="000000"/>
          <w:sz w:val="20"/>
        </w:rPr>
        <w:t>G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) станет реализация взаимодействия по формату "</w:t>
      </w:r>
      <w:r w:rsidRPr="00AD7D00">
        <w:rPr>
          <w:rFonts w:ascii="Times New Roman" w:hAnsi="Times New Roman" w:cs="Times New Roman"/>
          <w:color w:val="000000"/>
          <w:sz w:val="20"/>
        </w:rPr>
        <w:t>paper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-</w:t>
      </w:r>
      <w:r w:rsidRPr="00AD7D00">
        <w:rPr>
          <w:rFonts w:ascii="Times New Roman" w:hAnsi="Times New Roman" w:cs="Times New Roman"/>
          <w:color w:val="000000"/>
          <w:sz w:val="20"/>
        </w:rPr>
        <w:t>free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" – исключение бумажного документооборота, переход к принципу "одного заявления". Соответственно, для исключения процессов, при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которых информация представляется на бумажных носителях, будет проводиться системная работа по анализу процессов, описанию жизненных ситуаций и интеграции информационных систем.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Если, согласно методологии </w:t>
      </w:r>
      <w:r w:rsidRPr="00AD7D00">
        <w:rPr>
          <w:rFonts w:ascii="Times New Roman" w:hAnsi="Times New Roman" w:cs="Times New Roman"/>
          <w:color w:val="000000"/>
          <w:sz w:val="20"/>
        </w:rPr>
        <w:t>Gartner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, на ранних стадиях развития "электр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онного правительства" ключевым показателем эффективности было количество оказанных электронных услуг, то новыми показателями эффективности станут снижение количества государственных услуг и рост количества жизненных ситуаций, которые оказываются "бесшовно"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онлайн виде. Так, по первичным подсчетам, реализация данных мер в ближайшее время позволит полностью исключить более чем 20 млн. справок.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современном обществе цифровая информация о пространственных данных превратилась в важный стратегический ре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сурс государственного управления и стала ключом его устойчивого социально-экономического развития. В стране накоплен большой объем данных, полученных в результате производственной деятельности различных предприятий. Однако большой объем и не структурирован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ность накопленной совокупности данных создают информационный барьер, а иногда препятствуют процессам обмена информацией и управлению на основе этой информации. Новые требования рынка, предъявляемые к информации о местности, и развитие информационных технол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огий обуславливают необходимость поиска новых решений. Выход из сложившейся ситуации видится в создании условий, обеспечивающих доступ потребителей к пространственным данным в электронном виде и их эффективное использование.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целях унификации, разви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тия и поддержания пространственных данных в актуальном состоянии будет модернизирована система государственного геодезического обеспечения, установлена единая система координат, созданы карты открытого пользования по единым форматам и структурам данных.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</w:t>
      </w:r>
      <w:r w:rsidRPr="00AD7D00">
        <w:rPr>
          <w:rFonts w:ascii="Times New Roman" w:hAnsi="Times New Roman" w:cs="Times New Roman"/>
          <w:color w:val="000000"/>
          <w:sz w:val="20"/>
        </w:rPr>
        <w:t>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Будет проведена работа по интеграции разрозненных кадастров в одно информационное пространство, обеспечена автоматизация процедур таким образом, что каждый вновь появившийся объект, будь то дом или дорога, при прохождении процедур государственных услуг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будут появляться на карте, обновляя ее. В результате внедрения повысятся доступность и качество оказываемых населению услуг в сфере земельных отношений, архитектуры, строительства, природопользования и охраны окружающей среды, геологии, жилищно-коммунальн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ого и сельского хозяйства.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Ключевым мероприятием будет являться реализация принципа "</w:t>
      </w:r>
      <w:r w:rsidRPr="00AD7D00">
        <w:rPr>
          <w:rFonts w:ascii="Times New Roman" w:hAnsi="Times New Roman" w:cs="Times New Roman"/>
          <w:color w:val="000000"/>
          <w:sz w:val="20"/>
        </w:rPr>
        <w:t>Digital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by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default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", предусматривающего планирование и последующее оказание государственных услуг исключительно в электронной форме, с расширением возможности самоо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бслуживания.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Для эффективного управления процессами обеспечения населения занятостью будет создана единая платформа, агрегирующая аналитическую и статистическую информацию о рынке труда. Кроме того, в целях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повышения прозрачности соблюдения условий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трудового законодательства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и недопущения их нарушения в превентивном виде, а также формализации трудовых отношений будут созданы условия и цифровая платформа для заключения трудовых отношений с фиксацией выплат по социальным пособиям и пенсионным отчислен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иям и так далее.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целях содействия выражению активной гражданской позиции и построения обратной связи от населения будут реализованы мероприятия по дальнейшему развитию принципов "Открытого Правительства" и "Открытого Парламента". Соответственно, б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удут разработаны "открытые бюджеты" - механизм общественного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контроля за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расходованием бюджетных средств; "открытые НПА" - опубликованные проекты нормативных правовых актов и концепций законопроектов для дальнейших публичных обсуждений; "открытые данные" -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данные в публичном доступе для коммерческого использования, не относящиеся к государственным секретам, персональным данным и другим, указанным в законах Республики Казахстан.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Формирование систем электронного сопровождения нормативно-правовых актов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позволит обеспечить более качественный процесс законотворчества, максимально прозрачный и общедоступный механизм, позволяющий общественности и, в особенности,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бизнес-сообществу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иметь возможность непосредственного участия в нормотворческом процессе. Указанн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ые меры будут способствовать повышению уровня доверия к органам власти и формированию благоприятного климата для ведения бизнеса за счет открытости принимаемых законодательных инициатив.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рамках Программы планируется создать сеть виртуальных музеев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и перевести в электронный формат все музейные фонды, записи концертов, спектаклей значимые элементы материального и нематериально историко-культурного наследия. Доступ к информации может быть обеспечен путем создания нового Единого электронного портала, ко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торый позволит сфокусировать культурную жизнь страны на одном популярном ресурсе. Это самый доступный формат для продвижения культуры и искусства Казахстана в мировое пространство и возможности сделать широко узнаваемыми их.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Государство-бизнесу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</w:t>
      </w:r>
      <w:r w:rsidRPr="00AD7D00">
        <w:rPr>
          <w:rFonts w:ascii="Times New Roman" w:hAnsi="Times New Roman" w:cs="Times New Roman"/>
          <w:color w:val="000000"/>
          <w:sz w:val="20"/>
        </w:rPr>
        <w:t>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Цифровизация взаимодействия государства и бизнеса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направлена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на снижение транзакционных издержек предпринимателей, повышение прозрачности принимаемых государственными органами и организациями решений.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Мероприятия будут направлены на обеспечение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предпринимателей "бесшовными" услугами и создание инфраструктуры для реализации принципа "единого окна" для бизнеса - по аналогии с опытом создания центров обслуживания населения.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Данная инициатива станет ключевой и предполагает обеспечение прозрачн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ости и упрощение мер финансовой и нефинансовой поддержки малого среднего бизнеса, а также оказания других государственных услуг юридическим лицам. Кроме того, с учетом мирового опыта, в частности, сингапурской программы "</w:t>
      </w:r>
      <w:r w:rsidRPr="00AD7D00">
        <w:rPr>
          <w:rFonts w:ascii="Times New Roman" w:hAnsi="Times New Roman" w:cs="Times New Roman"/>
          <w:color w:val="000000"/>
          <w:sz w:val="20"/>
        </w:rPr>
        <w:t>SMEs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Go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Digital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", на единой платфор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ме для малого и среднего бизнеса предпринимателям будет организован доступ к различным ИТ-сервисам, таким, как бухгалтерия, управление человеческими ресурсами, финансовый анализ и прочее.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Следующим значимым направлением является реализация комплекса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мер, при успешности которых повысится качество налогового и таможенного администрирования.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Следует отметить, что меры по снижению издержек при осуществлении импортно-экспортных операций, повышению эффективности контроля качества импортируемых товар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ов будут реализованы в рамках Программы "Национальная экспортная стратегия Республики Казахстан" на 2018 – 2022 годы, утвержденной Постановлением Правительства Республики Казахстан от 26 августа 2017 года № 511.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Внедрение единой информационной среды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и проведение маркировки производимых и импортируемых товаров совместно с построением платформы по выставлению электронных счетов-фактур позволят создать экосистему, направленную на обеспечение предупреждения, ограничения и пресечения недобросовестной конку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ренции; гарантии качества и цены приобретаемых товаров, подтверждение подлинности товаров, противодействие незаконному ввозу, производству и обороту товаров, в том числе контрафактных.</w:t>
      </w:r>
      <w:proofErr w:type="gramEnd"/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Цифровизация внутренней деятельности государственных органов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</w:t>
      </w:r>
      <w:r w:rsidRPr="00AD7D00">
        <w:rPr>
          <w:rFonts w:ascii="Times New Roman" w:hAnsi="Times New Roman" w:cs="Times New Roman"/>
          <w:color w:val="000000"/>
          <w:sz w:val="20"/>
        </w:rPr>
        <w:t>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Эффективность деятельности государственных органов зависит от уровня автоматизации процессов, связанных с выполнением ежедневных рутинных операций, таких как кадровый, бухгалтерский учет, бюджетное планирование, планирование и исполнение государственных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закупок, переписка с другими государственными органами и так далее. В целях эффективного взаимодействия государственных органов и соблюдения принципов “</w:t>
      </w:r>
      <w:r w:rsidRPr="00AD7D00">
        <w:rPr>
          <w:rFonts w:ascii="Times New Roman" w:hAnsi="Times New Roman" w:cs="Times New Roman"/>
          <w:color w:val="000000"/>
          <w:sz w:val="20"/>
        </w:rPr>
        <w:t>paper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free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” предполагается развитие системы управления бизнес-процессами, построенной на принципах облач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ного вычисления с дальнейшим развитием в цифровое хранилище. Будет продолжена работа по автоматизации подобных типовых задач преимущественно по сервисной модели информатизации.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Для улучшения процессов принятия решений на государственном уровне будет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проведен комплекс работ по развитию системы интеллектуального анализа и прогнозирования на основе больших данных.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Как показывает мировой опыт, более 40 правительств мира и 60% компаний из списка </w:t>
      </w:r>
      <w:r w:rsidRPr="00AD7D00">
        <w:rPr>
          <w:rFonts w:ascii="Times New Roman" w:hAnsi="Times New Roman" w:cs="Times New Roman"/>
          <w:color w:val="000000"/>
          <w:sz w:val="20"/>
        </w:rPr>
        <w:t>Fortune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500 используют архитектурный подход для иннова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ций. Архитектура государственного органа будет направлена на формирование долгосрочной (5 лет) стратегии проведения трансформации и автоматизации деятельности государственных органов. В рамках разработки архитектуры будут определены приоритеты автоматизаци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и и финансирования ИТ-проектов. При этом предполагается вовлечение неправительственных организаций и граждан посредством публичного обсуждения с целью выработки наиболее предпочтительных сценариев взаимодействия государства и общества.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целях соблю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дения принципа "</w:t>
      </w:r>
      <w:r w:rsidRPr="00AD7D00">
        <w:rPr>
          <w:rFonts w:ascii="Times New Roman" w:hAnsi="Times New Roman" w:cs="Times New Roman"/>
          <w:color w:val="000000"/>
          <w:sz w:val="20"/>
        </w:rPr>
        <w:t>yellow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pages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" ключевым принципом автоматизации деятельности госорганов станет реализация микросервисной архитектуры, когда существующие и вновь создаваемые информационные системы будут предоставлять </w:t>
      </w:r>
      <w:r w:rsidRPr="00AD7D00">
        <w:rPr>
          <w:rFonts w:ascii="Times New Roman" w:hAnsi="Times New Roman" w:cs="Times New Roman"/>
          <w:color w:val="000000"/>
          <w:sz w:val="20"/>
        </w:rPr>
        <w:t>API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для различных сервисов и приложений,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реализуемых частными компаниями.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Создание "Единой государственной системы мониторинга окружающей среды и природных ресурсов" позволит в политическом и правовом аспекте: способствовать реализации на национальной стратегии устойчивого развития и предот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вращению экологической катастрофы; способствовать реализации процессов гласности и демократизации общества в области охраны окружающей среды и природных ресурсов; создать необходимые условия для доступа широких слоев населения к экологическим информационны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м ресурсам;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реализовать мониторинг общественного мнения населения по проблемам экологии. В экономическом аспекте - повысить эффективность использования природных ресурсов, общественного производства, улучшение социально-экономических условий жизни населени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я. В социальном аспекте - улучшить здоровье и повысить продолжительность жизни населения; создать условия для повышения экологической культуры и экологического образования населения.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Цифровизация здравоохранения предполагает как дальнейшую информатиз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ацию отрасли с внедрением платформы интероперабельности и развитием мобильного здравоохранения, так и внедрение прорывных технологий дополненной реальности, машинного обучения и искусственного интеллекта в процессы обучения студентов, постановки диагноза 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управления планами лечения.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Интеграционная платформа здравоохранения предполагает возможность гибкого взаимодействия медицинских систем друг с другом и внешними системами, возможность создания экосистемы приложений для конечных пользователей с интег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рацией с носимыми устройствами, мобильными приложениями, создаваемыми коммерческими компаниями, а также внедрение электронного паспорта здоровья для каждого гражданина страны.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Поэтапно будет создано единое хранилище данных с "живыми данными" путем вн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едрения региональных медицинских информационных систем. В последующем собранные данные будут использоваться для медицинской статистики, аналитики и принятия соответствующих решений с применением технологии </w:t>
      </w:r>
      <w:r w:rsidRPr="00AD7D00">
        <w:rPr>
          <w:rFonts w:ascii="Times New Roman" w:hAnsi="Times New Roman" w:cs="Times New Roman"/>
          <w:color w:val="000000"/>
          <w:sz w:val="20"/>
        </w:rPr>
        <w:t>Big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data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. Это позволит осуществить переход к безбу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мажному здравоохранению, оптимизации и повышению эффективности оказываемой помощи, обеспечению преемственности оказываемой помощи между разными уровнями и медицинскими организациями. Будет обеспечен защищенный доступ к ключевой медицинской информации для в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сех участников процесса оказания помощи, включая самого пациента. Посредством персонализированных уведомлений и предупреждений, в том числе с помощью мобильных технологий, будет обеспечено вовлечение населения в процесс охраны собственного здоровья и форми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рование здорового образа жизни.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Выступая в роли центрального хаба медицинской информации, электронные паспорта здоровья обеспечат своевременной и достоверной информацией как пациентов и медицинских работников, так и органы управления и финансирования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здравоохранения.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Интеграция информационных систем Фонда социального медицинского страхования с электронным паспортом здоровья позволит повысить обоснованность и эффективность расходования средств, внедрить новые механизмы финансового стимулирования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для повышения качества медицинской помощи.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Для повышения транспарентности избирательной системы в рамках реализации Программы предусмотрены мероприятия по цифровизации, которые обеспечат создание эффективной системы формирования и актуализации списко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в избирателей, в которую будут интегрированы центральные государственные органы, ведущие учет населения, избирательные комиссии и местные исполнительные органы. Архитектура системы послужит основой для электронной регистрации избирателей в период проведени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я выборных мероприятий, разработки государственных услуг, а также дальнейшей модернизации электронной избирательной системы в целом.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целях оперативного мониторинга социально-экономической обстановки будет внедрена единая аналитическая платформа, по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зволяющая отражать информацию для представления на уровне центральных государственных органов, а также местных исполнительных органов.</w:t>
      </w:r>
      <w:r w:rsidRPr="00AD7D00">
        <w:rPr>
          <w:rFonts w:ascii="Times New Roman" w:hAnsi="Times New Roman" w:cs="Times New Roman"/>
          <w:color w:val="000000"/>
          <w:sz w:val="20"/>
        </w:rPr>
        <w:t> 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Для обеспечения надежной правовой среды и неукоснительной защиты прав и свобод граждан, интересов юридических лиц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и государства требуется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целостная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>, глобальная цифровизация данного направления. В рамках данной работы будет внедрено "электронное дело", состоящее из 5 связанных компонентов: электронные обращения граждан, единый реестр субъектов и объектов проверок, един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ый реестр административных производств, электронное уголовное дело, аналитический центр.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Кроме того, в рамках дальнейшей цифровизации правоохранительных органов будет продолжен переход на безбумажный документооборот, а также внедрены информационно-а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налитические системы, направленные на повышение эффективности их деятельности.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Следующим направлением является создание геоинформационной платформы специального назначения, которая станет геоинформационной основой для систем управления структур вое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нной организации и общественной безопасности государства.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"Умные" города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Инициатива "</w:t>
      </w:r>
      <w:r w:rsidRPr="00AD7D00">
        <w:rPr>
          <w:rFonts w:ascii="Times New Roman" w:hAnsi="Times New Roman" w:cs="Times New Roman"/>
          <w:color w:val="000000"/>
          <w:sz w:val="20"/>
        </w:rPr>
        <w:t>Smart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city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" – это реализация условий для создания городов удобных для граждан за счет совершенствования их инфраструктуры.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Стратегическое направление –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создание урбанизированной территории, в которой ресурсы городских служб и частные инициативы взаимодействуют и сотрудничают для обеспечения устойчивого развития города и создания благоприятных условий для жителей и туристов посредством внедряемых технолог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ий и анализа контекстной информации в режиме реального времени.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Для повышения эффективности от реализации инициатив и оптимизации расходов сервисным интегратором будет разработана типовая архитектура МИО, в которой представлен перечень проектов с ис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пользованием технологий </w:t>
      </w:r>
      <w:r w:rsidRPr="00AD7D00">
        <w:rPr>
          <w:rFonts w:ascii="Times New Roman" w:hAnsi="Times New Roman" w:cs="Times New Roman"/>
          <w:color w:val="000000"/>
          <w:sz w:val="20"/>
        </w:rPr>
        <w:t>IoT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, </w:t>
      </w:r>
      <w:r w:rsidRPr="00AD7D00">
        <w:rPr>
          <w:rFonts w:ascii="Times New Roman" w:hAnsi="Times New Roman" w:cs="Times New Roman"/>
          <w:color w:val="000000"/>
          <w:sz w:val="20"/>
        </w:rPr>
        <w:t>Open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API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, искусственного интеллекта и других. Подход ставит во главу угла жителя и его ежедневные потребности в сферах транспортной инфраструктуры, обеспечения безопасностью, социальной, здравоохранения и других. Документ будет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определять обязательные решения, необходимые для реализации </w:t>
      </w:r>
      <w:r w:rsidRPr="00AD7D00">
        <w:rPr>
          <w:rFonts w:ascii="Times New Roman" w:hAnsi="Times New Roman" w:cs="Times New Roman"/>
          <w:color w:val="000000"/>
          <w:sz w:val="20"/>
        </w:rPr>
        <w:t>Smart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city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по всем городам Казахстана, для локализации под приоритеты региона предложены проекты в зависимости от различных факторов.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Реализация данных проектов будет осуществляться, используя бенчмаркинг, то есть с использованием лучших практик, как мирового сообщества, так и реализованных в Республике Казахстан. Основным станет реализация принципа "</w:t>
      </w:r>
      <w:r w:rsidRPr="00AD7D00">
        <w:rPr>
          <w:rFonts w:ascii="Times New Roman" w:hAnsi="Times New Roman" w:cs="Times New Roman"/>
          <w:color w:val="000000"/>
          <w:sz w:val="20"/>
        </w:rPr>
        <w:t>collaborative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innovation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" - фор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мат взаимодействия государственных органов с частными организациями, при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котором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будут итеративно вырабатываться новые усовершенствованные решения, подходы и необходимые изменения в НПА.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рамках реализации концепции </w:t>
      </w:r>
      <w:r w:rsidRPr="00AD7D00">
        <w:rPr>
          <w:rFonts w:ascii="Times New Roman" w:hAnsi="Times New Roman" w:cs="Times New Roman"/>
          <w:color w:val="000000"/>
          <w:sz w:val="20"/>
        </w:rPr>
        <w:t>Smart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city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будут предусмотрены м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ероприятия по автоматизации инфраструктуры жилищно-коммунального хозяйства и систем тепло-, водоснабжения и водоотведения.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b/>
          <w:color w:val="000000"/>
          <w:sz w:val="20"/>
          <w:lang w:val="ru-RU"/>
        </w:rPr>
        <w:t xml:space="preserve">5.3. Реализация цифрового Шелкового пути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Реализацию направления можно будет считать успешным, если к 2022 году будут достигнут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ы следующие вехи развития: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1. Качественное, непрерывное покрытие 4</w:t>
      </w:r>
      <w:r w:rsidRPr="00AD7D00">
        <w:rPr>
          <w:rFonts w:ascii="Times New Roman" w:hAnsi="Times New Roman" w:cs="Times New Roman"/>
          <w:color w:val="000000"/>
          <w:sz w:val="20"/>
        </w:rPr>
        <w:t>G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-мобильной связью населения Казахстана.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2. Повсеместный и высокоскоростной доступ частных лиц и компаний к глобальным сетям передачи данных.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3. Работающая и развивающаяся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система кибербезопасности на уровне страны в целом и каждого пользователя в частности, обеспеченная компетентными кадрами и современным оборудованием.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Реализация Цифрового шелкового пути в ближайшей перспективе предполагает две инициативы, включающие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себя ряд мероприятий - это расширение покрытия сетей связи и усиление кибербезопасности.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Расширение покрытия сетей связи и ИКТ инфраструктуры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Расширение покрытия сетей связи охватывает вопросы развития инфраструктуры широкополосного доступа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 глобальным сетям передачи данных с защитой контура и предупреждением инцидентов информационной безопасности. Доступность, стабильность и безопасность передачи данных являются необходимой технологической основой для всех инициатив данной Программы и друг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их программ, связанных с вопросами информационных технологий и цифровизации.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Инициатива включает в себя модернизацию спутниковой системы связи, развитие волоконно-оптических линий связи вплоть до сельских населенных пунктов, повышение транзитного по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тенциала и сети цифрового телерадиовещания.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Насущной первоочередной задачей является обеспечение широкополосного и доступного доступа к интернету в сельских населенных пунктах Республики Казахстан на базе ВОЛС, а также спутниковых технологий. Для эт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их целей планируется к реализации один из приоритетных проектов - строительство волоконно-оптических линий связи в более 1 200 сельских населенных пунктах по схеме государственно-частного партнерства. Покрытие ВОЛС сельских населенных пунктов Республики Ка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захстан обеспечит современными высокоскоростными услугами связи государственные органы и бюджетные учреждения, более 2,1 млн. человек будут иметь техническую возможность подключения к высокоскоростной сети Интернет.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рамках программы также планиру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ется развитие мобильной инфраструктуры нового поколения (сетей 4</w:t>
      </w:r>
      <w:r w:rsidRPr="00AD7D00">
        <w:rPr>
          <w:rFonts w:ascii="Times New Roman" w:hAnsi="Times New Roman" w:cs="Times New Roman"/>
          <w:color w:val="000000"/>
          <w:sz w:val="20"/>
        </w:rPr>
        <w:t>G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, а в будущем и 5</w:t>
      </w:r>
      <w:r w:rsidRPr="00AD7D00">
        <w:rPr>
          <w:rFonts w:ascii="Times New Roman" w:hAnsi="Times New Roman" w:cs="Times New Roman"/>
          <w:color w:val="000000"/>
          <w:sz w:val="20"/>
        </w:rPr>
        <w:t>G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) во всех районных центрах Республики Казахстан. 4</w:t>
      </w:r>
      <w:r w:rsidRPr="00AD7D00">
        <w:rPr>
          <w:rFonts w:ascii="Times New Roman" w:hAnsi="Times New Roman" w:cs="Times New Roman"/>
          <w:color w:val="000000"/>
          <w:sz w:val="20"/>
        </w:rPr>
        <w:t>G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-стандарт предполагает широкополосный доступ к мобильному интернету и соответствующее увеличение скорости передачи данных.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Расширение доступа к интернет может стать более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привлекательным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для операторов связи по мере развития технологии больших данных. Сбор и анализ массивов данных от подключенных пользователей позволит, среди прочего, детально понимать предпочтения и в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озможности пользователей (как частных лиц, так и компаний) а также рыночную динамику, жизненный цикл абонента и влияние внешних условий.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Однако в развитии технологии больших данных критично важны координация, совмещение и единое направление усилий. П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оэтому важную роль в развитии больших данных играет государство, которое располагает крупнейшим объемом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данных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как о частных лицах, так и корпоративном секторе. Консолидации и развитию усилий государства будет способствовать создание технологического центр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а анализа больших данных – единого "места сбора" данных и обеспечения надежного функционирования, хранения, сохранности национальных и государственных информационных ресурсов, в том числе на основе уже существующих инициатив.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 Работу базовых станций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мобильной связи, спутниковых каналов связи для нужд государственных органов, национальных компаний и частных организаций, а также телевизионное вещание на территории всей страны обеспечивает космическая система связи "</w:t>
      </w:r>
      <w:r w:rsidRPr="00AD7D00">
        <w:rPr>
          <w:rFonts w:ascii="Times New Roman" w:hAnsi="Times New Roman" w:cs="Times New Roman"/>
          <w:color w:val="000000"/>
          <w:sz w:val="20"/>
        </w:rPr>
        <w:t>KazSat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", состоящая из двух спутников с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вязи "</w:t>
      </w:r>
      <w:r w:rsidRPr="00AD7D00">
        <w:rPr>
          <w:rFonts w:ascii="Times New Roman" w:hAnsi="Times New Roman" w:cs="Times New Roman"/>
          <w:color w:val="000000"/>
          <w:sz w:val="20"/>
        </w:rPr>
        <w:t>KazSat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-2" и "</w:t>
      </w:r>
      <w:r w:rsidRPr="00AD7D00">
        <w:rPr>
          <w:rFonts w:ascii="Times New Roman" w:hAnsi="Times New Roman" w:cs="Times New Roman"/>
          <w:color w:val="000000"/>
          <w:sz w:val="20"/>
        </w:rPr>
        <w:t>KazSat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-3". Так как срок эксплуатации аппарата "</w:t>
      </w:r>
      <w:r w:rsidRPr="00AD7D00">
        <w:rPr>
          <w:rFonts w:ascii="Times New Roman" w:hAnsi="Times New Roman" w:cs="Times New Roman"/>
          <w:color w:val="000000"/>
          <w:sz w:val="20"/>
        </w:rPr>
        <w:t>KazSat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-2" истекает в 2023 году, к этому сроку будут завершены работы по вводу в эксплуатацию космической системы связи "</w:t>
      </w:r>
      <w:r w:rsidRPr="00AD7D00">
        <w:rPr>
          <w:rFonts w:ascii="Times New Roman" w:hAnsi="Times New Roman" w:cs="Times New Roman"/>
          <w:color w:val="000000"/>
          <w:sz w:val="20"/>
        </w:rPr>
        <w:t>KazSat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-2</w:t>
      </w:r>
      <w:r w:rsidRPr="00AD7D00">
        <w:rPr>
          <w:rFonts w:ascii="Times New Roman" w:hAnsi="Times New Roman" w:cs="Times New Roman"/>
          <w:color w:val="000000"/>
          <w:sz w:val="20"/>
        </w:rPr>
        <w:t>R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".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целях повышения транзитного потенциала страны, в р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амках Программы будет развиваться многостороннее партнерство с операторами связи соседних госуда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рств с с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озданием современной, производительной и масштабируемой транспортной инфраструктуры, способной обеспечить телекоммуникационный трафик в направлениях Рос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сии, Китая и Центральной Азии.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Обеспечение информационной безопасности в сфере ИКТ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Усиление кибербезопасности в рамках данной Программы предполагает повышение отказоустойчивости информационных систем Республики Казахстан, защиту контура в облас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ти ИКТ и общее повышение информационной безопасности, начиная от технических средств и завершая созданием культуры безопасного поведения граждан и компаний в сетях общего доступа.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Инициатива включает в себя создание оперативных центров информационной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безопасности и служб реагирования на инциденты информационной безопасности, а также формирование исследовательских лабораторий и центра обработки данных. В качестве институциональной поддержки будут внесены изменения в законодательство и определены станда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рты кибербезопасности.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Инфраструктурные усилия государства в этой области будут оформлены в виде создания Национального координационного центра информационной безопасности Республики Казахстан. Основными функциями центра являются обеспечение и повыше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ние информационной безопасности объектов информатизации, а также создание единой платформы для принятия управленческих решений, в основе которых будет лежать комплексный мониторинг состояния информационной безопасности объектов информатизации.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Особое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внимание будет уделено координации по вопросам реагирования на инциденты информационной безопасности в казахстанском сегменте Интернета, что повысит позиции Республики Казахстан в индексе кибербезопасности Международного союза электросвязи.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целях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сотрудничества фундаментального и прикладного изучения проблем кибербезопасности государство будет оказывать материальную и организационную поддержку по созданию лабораторий по исследованию вредоносного кода, средств информационной безопасности и испытател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ьной лаборатории для проведения испытаний на соответствие требованиям информационной безопасности.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Программа предполагает реализацию комплекса взаимосвязанных мер, которые требуется реализовать для достижения ключевой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амбициозной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цели - создания инно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вационной экономики, вхождения в 30 развитых стран к 2050 году и преобразования общества и производства таким образом, чтобы не остаться за бортом современного технологического мира. Достижение этой цели требует консолидации и мобилизации всего общества, с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овершения прорыва в короткий промежуток времени.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рамках исполнения Плана мероприятий по реализации Концепции кибербезопасности ("Киберщит Казахстана") будут также прорабатываться вопросы по информационной безопасности.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 учетом постоянного по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явления новых технологий, инновационных методов и инструментов в сфере ИКТ, в случае необходимости, в рамках Программы будут реализованы дополнительные инициативы.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b/>
          <w:color w:val="000000"/>
          <w:sz w:val="20"/>
          <w:lang w:val="ru-RU"/>
        </w:rPr>
        <w:t>5.4. Развитие человеческого капитала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Для достижения заданных целей Программы в области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квалификации кадров будет полностью обновлена система образования в соответствии с лучшими мировыми практиками. Новое образование будет отвечать потребностям цифровой экономики с акцентом, прежде всего, на навыки в анализе информации и развитие креативнос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ти мышления, нежели на заучивании фактов и формул.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Повышение цифровой грамотности в среднем, техническом и профессиональном, высшем образовании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среднем образовании в целях развития у молодого поколения творческих способностей и критического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мышления будет поэтапно введен предмет "Основы программирования", начиная со 2-го класса. Также будут актуализированы программы (5-11-го классов), в первую очередь, в части пересмотра языков программирования с учетом включения </w:t>
      </w:r>
      <w:r w:rsidRPr="00AD7D00">
        <w:rPr>
          <w:rFonts w:ascii="Times New Roman" w:hAnsi="Times New Roman" w:cs="Times New Roman"/>
          <w:color w:val="000000"/>
          <w:sz w:val="20"/>
        </w:rPr>
        <w:t>STEM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-элементов (робототехник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а, виртуальная реальность, 3</w:t>
      </w:r>
      <w:r w:rsidRPr="00AD7D00">
        <w:rPr>
          <w:rFonts w:ascii="Times New Roman" w:hAnsi="Times New Roman" w:cs="Times New Roman"/>
          <w:color w:val="000000"/>
          <w:sz w:val="20"/>
        </w:rPr>
        <w:t>D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-принтинг и другие).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целях развития и поддержки талантливой молодежи будут проводиться регулярные хакатоны, олимпиады и конкурсы, а также различные кружки по робототехнике и программированию.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При этом на постоя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нной основе будет обеспечено повышение квалификации учителей по новым цифровым технологиям для совершенствования и освоения новых знаний.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сфере технического и профессионального образования будут проводиться те же мероприятия по увеличению доступа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студентов к ресурсам и знаниям, что и для среднего образования (в том числе хакатоны, олимпиады, конкурсы и инфраструктура подготовки к ним).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Кроме того, будут актуализированы типовые учебные планы и программы на основе профессиональных стандартов и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требований рынка труда. Новые типовые учебные планы и программы будут направлены на подготовку специалистов, владеющих знаниями в области проектирования, администрирования и тестирования, с учетом развития навыков кодирования.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Вместе с тем, в целях 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бучения базовым цифровым навыкам специалистов с техническим и профессиональным образованием будет введен предмет "Информатика".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Дополнительно будут проводиться курсы повышения квалификации для преподавателей по образовательным программам, в которых п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редусмотрены компетенции по использованию ИКТ.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сфере высшего, послевузовского образования будут также актуализированы типовые учебные планы и программы на основе профессиональных стандартов и требований рынка труда с учетом введения дисциплины "Ин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формационно-коммуникационные технологии" по всем специальностям.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целях обеспечения производства востребованными специалистами будет пересмотрено содержание образовательных программ по специальностям в области ИКТ.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Для сближения индустрии и 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бразования в учебный процесс ВУЗов страны за счет внебюджетных средств будут привлекаться представители предприятий с помощью открытия центров компетенций на базе ВУЗов страны. Помимо этого откроются ИКТ кафедры ВУЗов на предприятиях, где будут проводиться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курсы для студентов в рамках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ИКТ-проектов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отраслей экономики.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Повышение цифровой грамотности населения (подготовка, переподготовка)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сфере переподготовки кадров местные исполнительные органы на постоянной основе будут проводить обучение и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переобучение населения, в том числе безработных, востребованным цифровым навыкам. Также данное мероприятие охватит представителей малого и среднего бизнеса.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C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целью расширения образовательных возможностей для всех желающих получить необходимые навык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и будет создана национальная платформа открытого образования, которая будет предоставлять онлайн курсы, в первую очередь, обеспечивающие базовую подготовку по востребованным инженерно-техническим направлениям, с привлечением к их созданию больших коллектив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ов лучших профессоров казахстанских университетов и представителей производства.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Вместе с тем, применяя концепцию обучения в течение всей жизни, предприятия будут проводить корпоративное обучение для специалистов, усиливая коммуникативные и техническ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ие навыки профессии.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целом, Программа будет открывать возможности для усиления взаимодействия между учебными заведениями и предпринимателями для подготовки конкурентоспособных специалистов.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b/>
          <w:color w:val="000000"/>
          <w:sz w:val="20"/>
          <w:lang w:val="ru-RU"/>
        </w:rPr>
        <w:t xml:space="preserve">5.5. Создание инновационной экосистемы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Успешная реа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лизация данного направления к 2022 году будет означать: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1. Увеличение на порядок количества технологических стартап-проектов, инициированных в Казахстане, и их совокупной капитализации.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2. Наличие в Казахстане частной профессиональной отрасли в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енчурного капитала, обеспечивающей нужды быстрорастущей экосистемы.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3. "Истории успеха" казахстанских стартапов на международной арене, в том числе "экзиты".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более долгосрочной перспективе целями являются создание всех условий для появления в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Казахстане "единорогов" и менее крупных компаний с высокой капитализацией, а также формирование культуры технологического предпринимательства. Для этого будут созданы как необходимые институциональные условия, так и меры стимулирования инновационной деяте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льности, венчурного финансирования, создания и развития технологического предпринимательства.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Инновационная экосистема будет создана как на основе существующих технопарков, венчурных фондов, научно-исследовательских институтов и ВУЗов, так и на базе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создаваемого технопарка "</w:t>
      </w:r>
      <w:r w:rsidRPr="00AD7D00">
        <w:rPr>
          <w:rFonts w:ascii="Times New Roman" w:hAnsi="Times New Roman" w:cs="Times New Roman"/>
          <w:color w:val="000000"/>
          <w:sz w:val="20"/>
        </w:rPr>
        <w:t>Astana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hub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". Эта среда призвана создать условия для притяжения идей, технологий, цифровых решений и талантливых специалистов со всего мира, а также активного привлечения граждан Республики Казахстан, которые занимаются ИТ-проектами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за границей.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Важным последствием создания в стране инновационной экосистемы станет увеличение доли технологий казахстанского происхождения.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Поддержка площадок инновационного развития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Основным прорывным мероприятием по данной инициативе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будет являться запуск международного технопарка ИТ-стартапов (</w:t>
      </w:r>
      <w:r w:rsidRPr="00AD7D00">
        <w:rPr>
          <w:rFonts w:ascii="Times New Roman" w:hAnsi="Times New Roman" w:cs="Times New Roman"/>
          <w:color w:val="000000"/>
          <w:sz w:val="20"/>
        </w:rPr>
        <w:t>Astana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hub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), в котором будут реализованы меры поддержки и развития отраслей цифровой экономики. Для этого будут организованы регуляторные условия, необходимые для превращения </w:t>
      </w:r>
      <w:r w:rsidRPr="00AD7D00">
        <w:rPr>
          <w:rFonts w:ascii="Times New Roman" w:hAnsi="Times New Roman" w:cs="Times New Roman"/>
          <w:color w:val="000000"/>
          <w:sz w:val="20"/>
        </w:rPr>
        <w:t>Astana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hub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точку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притяжения инновационной деятельности как из всего Казахстана и СНГ в целом, так и из других стран. </w:t>
      </w:r>
      <w:proofErr w:type="gramStart"/>
      <w:r w:rsidRPr="00AD7D00">
        <w:rPr>
          <w:rFonts w:ascii="Times New Roman" w:hAnsi="Times New Roman" w:cs="Times New Roman"/>
          <w:color w:val="000000"/>
          <w:sz w:val="20"/>
        </w:rPr>
        <w:t>Astana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hub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будет встроен в систему международных ИТ-кластеров, таких как Израиль, Калифорния, Сингапур и Берлин и станет мостом для выхода своих резидентов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на международные рынки.</w:t>
      </w:r>
      <w:proofErr w:type="gramEnd"/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Помимо этого, инициатива предполагает повышение качества существующей инфраструктуры инновационного развития – инкубаторов и акселераторов Республики Казахстан, а также адаптацию законодательства, в том числе создание финансо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вых и налоговых преференций для стартапов и совершенствование вопросов защиты интеллектуальной собственности.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Развитие технологического предпринимательства, стартап культуры и НИОКР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Все успешные инновационные экосистемы открыты миру и конкурир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уют за человеческий капитал. В рамках Программы будут созданы благоприятные условия для привлечения в Казахстан технологических предпринимателей, ученых и других квалифицированных специалистов.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Иностранные предприниматели и технологические специалист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ы – источник специфического ноу-хау, необходимого для развития локальной экосистемы стартапов. Их опыт, а также технологии исследования и разработок, предпринимательства, управления  все наработки, которыми способны поделиться иностранные специалисты - мог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ут помочь ускорить формирование локальной экосистемы стартапов. Помимо этого, они обеспечивают разнообразие культур и знаний, что в будущем может стать конкурентным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преимуществом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как самой экосистемы, так и каждого ее участника.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Задача привлечения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иностранных специалистов и ученых требует, в первую очередь, обеспечения максимально благоприятных условий для их работы и проживания, безопасности и конкурентоспособной оплаты труда. В более долгосрочном плане таким специалистам будут предоставлены свидет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ельства реального использования их разработок, результативности их участия в создании цифровой экономики страны.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этой связи будет проработана возможность внедрения понятия </w:t>
      </w:r>
      <w:r w:rsidRPr="00AD7D00">
        <w:rPr>
          <w:rFonts w:ascii="Times New Roman" w:hAnsi="Times New Roman" w:cs="Times New Roman"/>
          <w:color w:val="000000"/>
          <w:sz w:val="20"/>
        </w:rPr>
        <w:t>e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-</w:t>
      </w:r>
      <w:r w:rsidRPr="00AD7D00">
        <w:rPr>
          <w:rFonts w:ascii="Times New Roman" w:hAnsi="Times New Roman" w:cs="Times New Roman"/>
          <w:color w:val="000000"/>
          <w:sz w:val="20"/>
        </w:rPr>
        <w:t>residence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(электронное резидентство) – возможность для иностранцев вести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бизнес деятельность на территории Казахстана, которые по той или иной причине отказались приобретать резидентство Республики Казахстан.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Параллельно с привлечением иностранного интеллектуального капитала будет обеспечен вывод на качественно другой у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ровень научно-исследовательской деятельности в Казахстане. Для этого предлагается разработать механизмы стимулирования научно-исследовательской деятельности организаций Республики Казахстан, открыть школы предпринимательства, а также привлекать крупные меж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дународные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ИТ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компании открывать свои исследовательские центры. Инновационная деятельность невозможна без фундаментальной и прикладной науки.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Для развития НИОКР будет налажено взаимодействие между стартапами и ведущими ВУЗами страны. Для этого Прав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ительство определит задания под целевые научные гранты, которые могут получать стартап команды совместно с ведущими ВУЗами.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Помимо этого, государство обеспечит все условия для стимулирования транснациональных компаний локализовать разработку своих п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родуктов, а также тестирование прорывных технологий на территории Казахстана. Для этого будет определен короткий список направлений технологических разработок и предоставлена законодательная возможность любой компании мира тестировать их в контролируемой с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реде, без рисков нарушения действующего законодательства в своих странах. Данный механизм в основном используется в финансовых технологиях, но его можно распространить на другие отрасли.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Кроме этого, основной задачей данной инициативы является повсе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местная популяризация инновационной деятельности в Республике Казахстан. Помимо масс-медийной поддержки будут задействованы и более целевые механизмы – такие, как программы наставничества для стартапов со стороны успешных технологических предпринимателей 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обучение студентов ведущих ВУЗов основам предпринимательства (на примере Израиля). Подобную практику можно также распространить на более ранний этап – в школе.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Привлечение венчурного финансирования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Развитие инноваций требует создания еще одн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ого необходимого условия - негосударственной профессиональной отрасли венчурного капитала. Развитие венчурной отрасли потребует адаптации законодательной базы для финансирования стартап-компаний, в т. ч. разработки проекта Закона о венчурных инвестициях, р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егулирующего, в том числе, деятельность индивидуальных инвесторов.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Параллельно с развитием и регулированием индивидуального венчурного инвестирования потребуются разработка и внедрение мер по привлечению в Казахстан профессиональных венчурных фондов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. Для координации и поддержки венчурных фондов на базе технопарка "</w:t>
      </w:r>
      <w:r w:rsidRPr="00AD7D00">
        <w:rPr>
          <w:rFonts w:ascii="Times New Roman" w:hAnsi="Times New Roman" w:cs="Times New Roman"/>
          <w:color w:val="000000"/>
          <w:sz w:val="20"/>
        </w:rPr>
        <w:t>Astana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Hub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" будет отработан вопрос создания фонда соинвестирования, который на первоначальной стадии обеспечит снижение рисков для частных инвесторов. Впоследствии в соответствии с опытом 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зраиля, роль данного фонда будет уменьшаться, уступая место частному сектору.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Вместе с тем государственные инвестиции осуществляются на возвратной и платной основе, венчурная индустрия же это высокорискованная отрасль, подразумевающая успех в среднем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1-2 проектах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из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вложенных 10. Поэтому фонд соинвестирования будет создан за счет средств квазигосударственного и частного секторов в виде некоммерческой организации. Статус некоммерческой организации позволяет отслеживать целевое использование средств,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вложенных в организацию, при этом не требует отдачи от каждой конкретной инвестиции, оценивая лишь показатели инвестиционного портфеля в целом.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Помимо профессиональных финансовых организаций венчурным финансированием могут заниматься крупные корпора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ции Казахстана, организовывая собственные корпоративные венчурные фонды. Подобная практика присуща многим глобальным телеком операторам, технологическим компаниям и банкам второго уровня. Государство может содействовать созданию подобных фондов через соинв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естирование либо другие стимулирующие меры.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Формирование спроса на инновации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Планируемая инновационная экосистема станет драйвером преобразований секторов экономики. В свою очередь МСБ, промышленные предприятия, квазигосударственный сектор и г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осударство создадут спрос на создаваемые инновации, чтобы получить полный цикл генерации и поддержки инновационной деятельности.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рамках инновационного развития будут созданы условия для совместного предпринимательства (корпоративные инновации и су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перкластеры), в рамках которой будут определены приоритетные технологии, позволяющие создать новые индустрии. Для приоритетных технологий будет создана благоприятная нормативно-правовая среда и привлечены корпорации, в том числе транснациональные. Также бу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дут реализованы партнерства с другими международными инновационными кластерами, в том числе из стран ЕАЭС / ШОС и другими. Казахстан наладит взаимодействие со странами участниками </w:t>
      </w:r>
      <w:r w:rsidRPr="00AD7D00">
        <w:rPr>
          <w:rFonts w:ascii="Times New Roman" w:hAnsi="Times New Roman" w:cs="Times New Roman"/>
          <w:color w:val="000000"/>
          <w:sz w:val="20"/>
        </w:rPr>
        <w:t>EUREKA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для реализации совместной </w:t>
      </w:r>
      <w:r w:rsidRPr="00AD7D00">
        <w:rPr>
          <w:rFonts w:ascii="Times New Roman" w:hAnsi="Times New Roman" w:cs="Times New Roman"/>
          <w:color w:val="000000"/>
          <w:sz w:val="20"/>
        </w:rPr>
        <w:t>R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&amp;</w:t>
      </w:r>
      <w:r w:rsidRPr="00AD7D00">
        <w:rPr>
          <w:rFonts w:ascii="Times New Roman" w:hAnsi="Times New Roman" w:cs="Times New Roman"/>
          <w:color w:val="000000"/>
          <w:sz w:val="20"/>
        </w:rPr>
        <w:t>D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деятельности.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 целях развития к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орпоративных инноваций будет определен приоритетный перечень корпораций для поддержки внедрения корпоративных инноваций через проведение обучения и семинаров. С этими корпорациями будут обсуждены различные возможности выведения их инновационных процессов н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а новый уровень, в том числе через корпоративные венчурные фонды, сотрудничество со стартапами (коллаборативные инновации) и т.д.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Также особое внимание будет уделено поддержке и популяризации инновационной деятельности крупных компаний. Для этого гос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ударство будет вовлекать крупные частные и национальные компании в процесс инноваций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через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>: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1. Содействие в установлении связей со стартапами для реализации инновационных проектов ("коллаборативные инновации") для создания инновационных экосистем вок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руг крупных компаний.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2. Создание стимулов для внедрения цифровых технологий в профильной деятельности.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Реализация вышеуказанных мероприятий внесет свою лепту в достижение цели Программы по повышению качества жизни населения страны.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b/>
          <w:color w:val="000000"/>
          <w:sz w:val="20"/>
          <w:lang w:val="ru-RU"/>
        </w:rPr>
        <w:t>5.6. Систем</w:t>
      </w:r>
      <w:r w:rsidRPr="00AD7D00">
        <w:rPr>
          <w:rFonts w:ascii="Times New Roman" w:hAnsi="Times New Roman" w:cs="Times New Roman"/>
          <w:b/>
          <w:color w:val="000000"/>
          <w:sz w:val="20"/>
          <w:lang w:val="ru-RU"/>
        </w:rPr>
        <w:t>а управления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Реализация Программы "Цифровой Казахстан" подразумевает следование пяти базовым принципам.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Принцип 1 – "цифровизация флагманских отраслей". Основной и наиболее быстрый макроэкономический эффект от Программы произойдет в связи с р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еализацией цифровой трансформации существующих отраслей экономики. В данном контексте основной задачей цифровизации отраслей является масштабный рост производительности труда, достижимый как за счет внедрения новых технологий, так и за счет сопутствующей а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даптации существующих бизнес процессов.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Принцип 2 - "идти перешагивая". Республика Казахстан возьмет курс на внедрение именно самых совершенных технологий, не опасаясь игнорировать проверенные решения в пользу инноваций послезавтрашнего дня.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Пр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инцип 3 – "быть гибким". При внесении изменений в Программу, в случаях, предусмотренных действующей системой государственного планирования, может применяться </w:t>
      </w:r>
      <w:r w:rsidRPr="00AD7D00">
        <w:rPr>
          <w:rFonts w:ascii="Times New Roman" w:hAnsi="Times New Roman" w:cs="Times New Roman"/>
          <w:color w:val="000000"/>
          <w:sz w:val="20"/>
        </w:rPr>
        <w:t>agile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-подход.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Принцип 4 – "партнерство с бизнесом". Эффективная реализация Программы невозмо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жна без активной роли частного сектора. Государство будет вовлекать как крупный бизнес, так и МСБ для решения специфических проблем (областей неэффективности), которые логично решать усилиями частного сектора. Для реализации эффективного взаимодействия нео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бходимо уточнить инструменты вовлечения и создания мотивации для экономических субъектов, чтобы они плодотворно сотрудничали с государством. В этой связи будут созданы особые условия для привлечения инвестиций в цифровые проекты, то есть максимальное сниже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ние издержек для цифровой трансформации предприятий.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Принцип 5 – "адаптация регулирования". В результате реализации Программы появятся различные вопросы, которые потребуют изменения регулирования и стандартов (например, вопросы использования "больших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данных" или стандарты </w:t>
      </w:r>
      <w:r w:rsidRPr="00AD7D00">
        <w:rPr>
          <w:rFonts w:ascii="Times New Roman" w:hAnsi="Times New Roman" w:cs="Times New Roman"/>
          <w:color w:val="000000"/>
          <w:sz w:val="20"/>
        </w:rPr>
        <w:t>IoT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). Государство проявит собственную инициативу по принятию наиболее прогрессивного законодательства, чтобы создать условия для рывка, в том числе по сравнению со странами, находящимися на схожем этапе цифрового развития.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Для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гарантии непрерывности изменений при Президенте Республики Казахстан будет создана комиссия по вопросам внедрения цифровизации, которая призвана производить мониторинг, оценку и корректировку мероприятий для достижения цели реализации Программы. Мероприяти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я будут синхронизированы с аналогичными инициативами стран Таможенного союза - Российской Федерацией и Республикой Беларусь. Кроме того, для обеспечения исполнения Программы, инициатив и достижения целей будет создана необходимая структура управления цифро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выми преобразованиями.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На уровне Правительства создана позиция </w:t>
      </w:r>
      <w:r w:rsidRPr="00AD7D00">
        <w:rPr>
          <w:rFonts w:ascii="Times New Roman" w:hAnsi="Times New Roman" w:cs="Times New Roman"/>
          <w:color w:val="000000"/>
          <w:sz w:val="20"/>
        </w:rPr>
        <w:t>CDO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, в государственных органах созданы офисы цифровизации под руководством </w:t>
      </w:r>
      <w:r w:rsidRPr="00AD7D00">
        <w:rPr>
          <w:rFonts w:ascii="Times New Roman" w:hAnsi="Times New Roman" w:cs="Times New Roman"/>
          <w:color w:val="000000"/>
          <w:sz w:val="20"/>
        </w:rPr>
        <w:t>CDO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, ответственные за цифровизацию в курируемой ими отрасли. При уполномоченном органе, ответственном за сферу 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КТ, будет создан проектный офис цифровизации, призванный предоставлять необходимую методологическую и консультационную поддержку офисам цифровизации государственных органов и обеспечивать гармонизацию инициатив в направлении цифровизации как между государс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твенными органами и направлениями, так и между государственными органами и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бизнес-сообществом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>, ИТ-компаниями, технопарками, ВУЗами и научной сферой.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Для реализации Программы и достижения глобальных целей перехода к Индустрии 4.0 необходимо изменить с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тиль мышления, стиль управления и организации работ. Современный быстроизменяющийся мир делает устаревшими процессы управления, свойственные избыточно бюрократизированным административно-командным системам, с жесткой иерархией управления, строгим контролем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и подотчетностью в действиях. Критическим становится не умение выполнять инструкцию, а видеть реальные цели и достигать их в заданный срок и заданными критериями качества в условиях быстрых изменений окружающего мира. Для этого необходимо осознанное внедр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ение различных способов управления, включая гибкие, для выполнения проектов и инициатив с достижимыми целями в краткосрочной перспективе. Гибкие, иначе адаптивные, методы управления позволяют планировать на основе краткосрочных целей с быстрой поставкой ре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зультатов и быстрой адаптацией под изменяющиеся условия. Они требуют умения выстраивать сетевые неиерархичные структуры взаимодействия (коллаборации) временных команд, работающих над достижением конкретной цели. Такие структуры позволяют не создавать избыт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очный бюрократический аппарат и привлекать людей с заданными компетенциями для исполнения необходимых работ, позволяя им выполнять интересные и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амбициозные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задачи, взамен получая накопленный опыт и знания.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Соответственно, проектный офис цифровизации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на базе АО "НИКХ "Зерде" будет драйвером внедрения гибких адаптивных методов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управления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и транслировать их в офисы цифровизации государственных органов с дальнейшим вовлечением других структур государственных органов.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Для достижения средне- и долгоср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очных целей будут проходить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апробацию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и внедряться стили управления, построенные на основе моделирования будущего. В частности, на постоянной основе будут использоваться форсайт-сессии стратегического планирования, прогнозирования изменений и разработки до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рожных карт по реализации этих изменений.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b/>
          <w:color w:val="000000"/>
          <w:sz w:val="20"/>
          <w:lang w:val="ru-RU"/>
        </w:rPr>
        <w:t>6. Необходимые ресурсы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Реализация цифровых инициатив станет важным звеном в ряде мероприятий для дальнейшего экономического роста страны. Программа имеет значительный потенциал создания добавленной стоимости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и сокращения издержек в экономике, что позволит достичь темпов роста В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ВП стр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аны на уровне 4,5-5% в год на горизонте с 2025 года, причем 1,6%-2,2%, то есть около трети, придется исключительно на цифровизацию. Этот сценарий предусматривает целостный подход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к изменениям, максимальное вовлечение и дополнительные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инвестиции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как на уровне государства, так и на уровне отдельных отраслей и компаний. При этом координирующее и направляющее участие государства в Программе обусловлено ее акцентом не только на достижен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ие прямого возврата от инвестиций, но и на обеспечение долгосрочных эффектов от цифровизации на улучшение качества образования, рост качества жизни, развитие инвестиционной и </w:t>
      </w:r>
      <w:proofErr w:type="gramStart"/>
      <w:r w:rsidRPr="00AD7D00">
        <w:rPr>
          <w:rFonts w:ascii="Times New Roman" w:hAnsi="Times New Roman" w:cs="Times New Roman"/>
          <w:color w:val="000000"/>
          <w:sz w:val="20"/>
          <w:lang w:val="ru-RU"/>
        </w:rPr>
        <w:t>бизнес-среды</w:t>
      </w:r>
      <w:proofErr w:type="gramEnd"/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Прямой эффект от инвестиций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Реализация Программы пр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едполагает 141 млрд. тенге из республиканского бюджета, также ожидается привлечение 169 млрд. тенге средств субъектов квазигосударственного сектора. По предварительным подсчетам прямой эффект от цифровизации экономики к 2025 году позволит создать добавочну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ю стоимость на 1,7 – 2,2 трлн. тенге, таким образом обеспечив возврат от инвестиций в 4,8 – 6,4 раза к 2025 году к общим объемам инвестиций с учетом частных инвестиций.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Цифровизация имеет влияние на все сектора и приведет к изменению структуры экон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омики Республики Казахстан в целом путем диверсификации и раскрытия потенциала не сырьевых отраслей, стимулирования стартап-активности и открытия "новых отраслей". При этом степень влияния цифровых технологий в разных отраслях неоднородна - наибольший поте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нциал создания стоимости предполагается в рамках традиционных отраслей экономики Казахстана, в том числе сырьевого сектора, но также открываются принципиально новые возможности создания стоимости в электронной торговле, ИТ-секторе и финансовой индустрии. 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Наиболее значимые эффекты с точки зрения ВВП придутся на 12 ключевых проектов: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1) создание международного технопарка </w:t>
      </w:r>
      <w:r w:rsidRPr="00AD7D00">
        <w:rPr>
          <w:rFonts w:ascii="Times New Roman" w:hAnsi="Times New Roman" w:cs="Times New Roman"/>
          <w:color w:val="000000"/>
          <w:sz w:val="20"/>
        </w:rPr>
        <w:t>IT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-стартапов (</w:t>
      </w:r>
      <w:r w:rsidRPr="00AD7D00">
        <w:rPr>
          <w:rFonts w:ascii="Times New Roman" w:hAnsi="Times New Roman" w:cs="Times New Roman"/>
          <w:color w:val="000000"/>
          <w:sz w:val="20"/>
        </w:rPr>
        <w:t>Astana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hub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);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2) внедрение технологий Индустрии 4.0, в том числе реализация проектов "Интеллектуальное 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месторождение", создание модельных фабрик;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3) внедрение принципа "</w:t>
      </w:r>
      <w:r w:rsidRPr="00AD7D00">
        <w:rPr>
          <w:rFonts w:ascii="Times New Roman" w:hAnsi="Times New Roman" w:cs="Times New Roman"/>
          <w:color w:val="000000"/>
          <w:sz w:val="20"/>
        </w:rPr>
        <w:t>paper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-</w:t>
      </w:r>
      <w:r w:rsidRPr="00AD7D00">
        <w:rPr>
          <w:rFonts w:ascii="Times New Roman" w:hAnsi="Times New Roman" w:cs="Times New Roman"/>
          <w:color w:val="000000"/>
          <w:sz w:val="20"/>
        </w:rPr>
        <w:t>free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";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4) создание интеллектуальной транспортной системы;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5) развитие электронной торговли;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6) создание цифровой платформы для МСБ (единое окно);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7) разви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тие информационной системы маркировки товаров для сокращения теневого оборота;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8) реализация комплекса мер по развитию безналичных платежей;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9) развитие открытых платформ (</w:t>
      </w:r>
      <w:r w:rsidRPr="00AD7D00">
        <w:rPr>
          <w:rFonts w:ascii="Times New Roman" w:hAnsi="Times New Roman" w:cs="Times New Roman"/>
          <w:color w:val="000000"/>
          <w:sz w:val="20"/>
        </w:rPr>
        <w:t>Open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API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), </w:t>
      </w:r>
      <w:r w:rsidRPr="00AD7D00">
        <w:rPr>
          <w:rFonts w:ascii="Times New Roman" w:hAnsi="Times New Roman" w:cs="Times New Roman"/>
          <w:color w:val="000000"/>
          <w:sz w:val="20"/>
        </w:rPr>
        <w:t>Big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Data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и искусственный интеллект;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10) развитие телеко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ммуникационной инфраструктуры, в том числе проведение широкополосного доступа;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11) совершенствование таможенного и налогового администрирования и переход на электронное декларирование;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12) реализация проектов </w:t>
      </w:r>
      <w:r w:rsidRPr="00AD7D00">
        <w:rPr>
          <w:rFonts w:ascii="Times New Roman" w:hAnsi="Times New Roman" w:cs="Times New Roman"/>
          <w:color w:val="000000"/>
          <w:sz w:val="20"/>
        </w:rPr>
        <w:t>Smart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D7D00">
        <w:rPr>
          <w:rFonts w:ascii="Times New Roman" w:hAnsi="Times New Roman" w:cs="Times New Roman"/>
          <w:color w:val="000000"/>
          <w:sz w:val="20"/>
        </w:rPr>
        <w:t>City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Качественный эффе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кт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Помимо достижения экономического эффекта и роста конкурентоспособности, цифровизация окажет положительное влияние на социальные сферы, нацеленные на улучшение качества жизни населения, одну из ключевых целей Программы. Такие инициативы не предпола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гают прямого возврата от инвестиций в краткосрочной перспективе, но они важны для долгосрочного успеха Программы и развития страны (например, развитие образования), а также необходимы как квинтэссенция роли государства (развитие здравоохранения, электронно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го правительства, "умных городов").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Совокупный эффект от таких инициатив имеет отложенный характер и будет очевиден в полной мере только спустя годы. К 2022 году ожидается начало эффекта от качественного развития образования, здравоохранения и инвест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иционной среды. Этот эффект незначителен на горизонте реализации Программы, но в долгосрочной перспективе позволит существенно сократить разрыв в социально-экономическом развитии с топ-30 развитыми странами мира.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Важным результатом реализации Програм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мы также станет ускорение вхождения Казахстана в 30-ку в индексе развития ИКТ ООН.</w:t>
      </w:r>
    </w:p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На еще более длинных горизонтах успешное внедрение программы цифровизации подготовит страну к следующим вызовам научно-технического и социального развития, которые еще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только обретают первые очертания.</w:t>
      </w:r>
    </w:p>
    <w:p w:rsidR="00CD1B2C" w:rsidRPr="00AD7D00" w:rsidRDefault="00B454B1">
      <w:pPr>
        <w:spacing w:after="0"/>
        <w:rPr>
          <w:rFonts w:ascii="Times New Roman" w:hAnsi="Times New Roman" w:cs="Times New Roman"/>
        </w:rPr>
      </w:pPr>
      <w:r w:rsidRPr="00AD7D00">
        <w:rPr>
          <w:rFonts w:ascii="Times New Roman" w:hAnsi="Times New Roman" w:cs="Times New Roman"/>
          <w:b/>
          <w:color w:val="000000"/>
          <w:sz w:val="20"/>
        </w:rPr>
        <w:t>Глоссарий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932"/>
        <w:gridCol w:w="256"/>
        <w:gridCol w:w="3845"/>
        <w:gridCol w:w="3555"/>
        <w:gridCol w:w="74"/>
      </w:tblGrid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АКФ ПИТ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автономный кластерный фонд "Парк инновационных технологий";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АПК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агропромышленный комплекс;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 Блокчейн 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ведение в электронной форме в хронологическом порядке единого публичного учета каких-либо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данных и (или) совершенных действий всеми участниками какой-либо бизнес сети;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Бид 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цена спроса, наивысшая цена покупателя, по которой он согласен купить валюту, ценные бумаги, активы;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ВВП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валовой внутренний продукт;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 ВОЛС 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волоконно-оптические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линии связи;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ГИК ВЭФ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глобальный индекс конкурентоспособности Всемирного экономического форума;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ГО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государственные органы;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 ДТП 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дорожно-транспортное происшествие;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ИКТ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информационно-коммуникационные технологии;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ИТ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информационные технологии;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ИТС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интеллектуальная транспортная система;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ЛЭП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линия электропередач;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МИК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Министерство информации и коммуникаций Республики Казахстан;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Министерство образования Республики Казахстан;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МИР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Министерство по инвестициям и развитию Республики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Казахстан;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МНЭ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Министерство национальной экономики Республики Казахстан;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МСБ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малый и средний бизнес;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МСЭ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Международный союз электросвязи;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Министерство сельского хозяйства Республики Казахстан;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МИО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местные исполнительные органы;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МЭ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Министерство энергетики Республики Казахстан;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Национальный Банк Республики Казахстан;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НИОКР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научно-исследовательские и опытно-конструкторские работы;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НПА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нормативные правовые акты;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 НПЗ 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нефтеперерабатывающий завод;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ООН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Организация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Объединенных Наций;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ОЮЛ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объединение юридических лиц;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 ПДД 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правила дорожного движения;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РК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Республика Казахстан;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США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Соединенные Штаты Америки;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 Экономические агенты 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субъекты экономических отношений, участвующие в производстве,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распределении, обмене и потреблении экономических благ;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ЦГО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центральные государственные органы;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Цифровизация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применение цифровых технологий для создания и/или изменения </w:t>
            </w: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бизнес-модели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и получения новых доходов и возможностей, генерирующих ценность;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Цифровая трансформация экономики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изменение модели управления экономикой, заключающееся в отдельных цифровых преобразованиях, а также изменении структуры экономики за счет формирования эффективных цифровых инфраструктур, в результате которых осуществляетс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я переход на новый технологический и экономический уклад, а также происходит создание новых отраслей экономики;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Цифровая экономика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совокупность общественных отношений, складывающихся при использовании электронных технологий, электронной инфраструктуры и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услуг, технологий анализа больших объемов данных и прогнозирования в целях оптимизации производства, распределения, обмена, потребления и повышения уровня социально-экономического развития государств;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Цифровая платформа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площадка, обеспечивающая комплек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 цифровых процессов взаимодействия двух или более различных субъектов цифрового взаимодействия;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Цифровая экосистема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взаимозависимая группа субъектов и объектов цифровой экосистемы, которые используют стандартизованные цифровые платформы для достижения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взаимовыгодных целей (таких как коммерческая прибыль, инновации или общие интересы);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Цифровые технологии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технологии, использующие электронно-вычислительную аппаратуру для записи кодовых импульсов в определенной последовательности и с определенной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частотой;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3D-принтеры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периферийное устройство, использующее метод послойного создания физического объекта </w:t>
            </w: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по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цифровой 3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D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-модели;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ADSL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asymmetric digital subscriber line — асимметричная цифровая абонентская линия;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API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application programming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interface;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В2В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Business to Business;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CDO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chief digital officer - главный цифровой офицер;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G2B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Government-to-Business;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G2C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Government-to-Citizen;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G2G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Government-to-Government;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Fulfillment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комплекс операций с момента оформления заказа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покупателем и до момента получения им покупки;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FTTх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fiber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to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the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x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— оптическое волокно до точки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X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IDC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International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Data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Corporation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— международная исследовательская и консалтинговая компания;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ICT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information and communications technology;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IoT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Internet of Things;</w:t>
            </w:r>
          </w:p>
        </w:tc>
      </w:tr>
      <w:tr w:rsidR="00CD1B2C" w:rsidRPr="00AD7D00">
        <w:trPr>
          <w:gridAfter w:val="1"/>
          <w:wAfter w:w="106" w:type="dxa"/>
          <w:trHeight w:val="30"/>
          <w:tblCellSpacing w:w="0" w:type="auto"/>
        </w:trPr>
        <w:tc>
          <w:tcPr>
            <w:tcW w:w="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STEM</w:t>
            </w:r>
          </w:p>
        </w:tc>
        <w:tc>
          <w:tcPr>
            <w:tcW w:w="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7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Science, technology, engineering, and mathematics.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779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1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Приложение к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Государственной программе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от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___________________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№ ___________________</w:t>
            </w:r>
          </w:p>
        </w:tc>
      </w:tr>
    </w:tbl>
    <w:p w:rsidR="00CD1B2C" w:rsidRPr="00AD7D00" w:rsidRDefault="00B454B1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  <w:color w:val="000000"/>
          <w:sz w:val="20"/>
        </w:rPr>
        <w:t>     </w:t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 xml:space="preserve"> План мероприятий по реализации</w:t>
      </w:r>
      <w:r w:rsidRPr="00AD7D00">
        <w:rPr>
          <w:rFonts w:ascii="Times New Roman" w:hAnsi="Times New Roman" w:cs="Times New Roman"/>
          <w:lang w:val="ru-RU"/>
        </w:rPr>
        <w:br/>
      </w:r>
      <w:r w:rsidRPr="00AD7D00">
        <w:rPr>
          <w:rFonts w:ascii="Times New Roman" w:hAnsi="Times New Roman" w:cs="Times New Roman"/>
          <w:color w:val="000000"/>
          <w:sz w:val="20"/>
          <w:lang w:val="ru-RU"/>
        </w:rPr>
        <w:t>Государственной программы "Цифровой Казахстан"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82"/>
        <w:gridCol w:w="1075"/>
        <w:gridCol w:w="730"/>
        <w:gridCol w:w="955"/>
        <w:gridCol w:w="1143"/>
        <w:gridCol w:w="1052"/>
        <w:gridCol w:w="1085"/>
        <w:gridCol w:w="258"/>
        <w:gridCol w:w="258"/>
        <w:gridCol w:w="258"/>
        <w:gridCol w:w="258"/>
        <w:gridCol w:w="283"/>
        <w:gridCol w:w="839"/>
        <w:gridCol w:w="1186"/>
      </w:tblGrid>
      <w:tr w:rsidR="00CD1B2C" w:rsidRPr="00AD7D00">
        <w:trPr>
          <w:trHeight w:val="30"/>
          <w:tblCellSpacing w:w="0" w:type="auto"/>
        </w:trPr>
        <w:tc>
          <w:tcPr>
            <w:tcW w:w="5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№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п.п</w:t>
            </w:r>
          </w:p>
        </w:tc>
        <w:tc>
          <w:tcPr>
            <w:tcW w:w="229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3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Единица измерения</w:t>
            </w:r>
          </w:p>
        </w:tc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Форма завершения</w:t>
            </w:r>
          </w:p>
        </w:tc>
        <w:tc>
          <w:tcPr>
            <w:tcW w:w="12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Сроки исполнения</w:t>
            </w:r>
          </w:p>
        </w:tc>
        <w:tc>
          <w:tcPr>
            <w:tcW w:w="203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Ответственные за исполнение</w:t>
            </w:r>
          </w:p>
        </w:tc>
        <w:tc>
          <w:tcPr>
            <w:tcW w:w="7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2018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 том числе по годам</w:t>
            </w:r>
          </w:p>
        </w:tc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Источники финансирования</w:t>
            </w:r>
          </w:p>
        </w:tc>
        <w:tc>
          <w:tcPr>
            <w:tcW w:w="99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Код и наименование бюджетной программы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2019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2020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2021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2022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Всего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D1B2C" w:rsidRPr="00AD7D00" w:rsidRDefault="00CD1B2C">
            <w:pPr>
              <w:rPr>
                <w:rFonts w:ascii="Times New Roman" w:hAnsi="Times New Roman" w:cs="Times New Roman"/>
              </w:rPr>
            </w:pP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2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3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4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5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6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7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8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9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11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12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13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14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Целевые индикаторы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Рост производительности труда по секции "Горнодобывающая промышленность и разработка карьеров" (к 2016 году)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МИР, МЭ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8,8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15,5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22,7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30,4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38,9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2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Рост производительности труда по секции "Транспорт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и складирование" (к 2016 году)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МИР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3,7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6,5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10,7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16,0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21,2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3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Рост производительности труда по секции "Сельское, лесное и рыбное хозяйство" (к 2016 году)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9,4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16,6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28,3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39,2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45,1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4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Рост производительности труда по секции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"Обрабатывающая промышленность" (к 2016 году)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МИР, МЭ, МСХ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10,5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20,5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30,3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39,8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49,8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5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Доля электронной торговли в общем объеме розничной торговли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МНЭ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1,4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1,7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2,3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2,6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6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Рост созданных рабочих мест за счет цифровизации 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тыс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. </w:t>
            </w: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чел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МИК, АО "НИКХ "Зерде" (по согласованию)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300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7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Доля государственных услуг, полученных в электронном виде, от общего объема государственных услуг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МИК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30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80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8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Доля пользователей сети Интернет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МИК, операторы связи (по согласованию) 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78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79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81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82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9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Уровень цифровой грамотности населения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МИО, МИК, заинтересованные ГО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77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78,5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81,5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83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10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Улучшение в рейтинге ГИК ВЭФ по индикатору "Способность к инновациям"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место в рейтинге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МИР, МИК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79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75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71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67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63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11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Объем привлеченных инвестиций в стартапы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млрд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. тенге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МИК, МИР, МНЭ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4,8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15,2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35,9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67,0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12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Индекс развития информационно-коммуникационных технологий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место в рейтинге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МИК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49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44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39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34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30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I</w:t>
            </w: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  <w:lang w:val="ru-RU"/>
              </w:rPr>
              <w:t>Направление: Цифровизация отраслей экономики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  <w:lang w:val="ru-RU"/>
              </w:rPr>
              <w:t>Задача 1: Цифровизация промышленности и электроэнергетики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Показатели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Доля предоставленных прав на недропользования онлайн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МЭ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2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Доля крупных и средних предприятий, использующих цифровые технологии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МИР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11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3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Темп сокращения потерь при добыче нефти (к 2019 году)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МЭ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0,1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0,2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0,3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4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Темп сокращения плановых простоев основных фондов НПЗ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( 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к 2019 году)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МЭ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5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Доля </w:t>
            </w: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комплектов локальных автоматик предотвращения нарушения устойчивости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энергосистемы (ЛАПНУ), подключенных к Централизованной системе противоаварийной автоматики (ЦСПА): 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МЭ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25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Мероприятия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Создание и внедрение информационной системы учета нефти с применением контрольных приборов учета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тыс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. тенге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2021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МЭ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1 256 240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825 276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646 155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2 727 671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Новая бюджетная программа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2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Развитие системы "Единая государственная система управления недропользованием Республики Казахстан" - онлайн аукцион, прогноз баланса сжиженного нефтяного газа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тыс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. тенге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2021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МЭ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527 086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393 412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215 556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1 136 054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Новая бюджетная программа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3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Внедрение проекта "Интеллектуальное месторождение"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2020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АО "РД "Казмунайгаз" (по согласованию)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 Собственные средства АО "РД "Казмунайгаз" 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Собственные средства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4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Внедрение проекта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"Цифровой рудник"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2020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АО "НАК "Казатомпром" (по согласованию)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 Собственные средства АО "НАК "Казатомпром" 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Собственные средства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5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Создание модельных цифровых фабрик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тыс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. тенге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2020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МИР, АО "КИРИ" (по согласованию), АКФ ПИТ (по согласованию), частные компании (по согласованию)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283 282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 Собственные средства предприятий по результатам планов модернизации 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283 282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РБ и собственные средства предприятий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090 "Содействие развитию отраслей п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ромышленности и обеспечение промышленной безопасности"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107 "Информационно-аналитические и консультационные услуги в области развития приоритетных секторов экономики"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6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Переход на увеличенный межремонтный период на НПЗ РК (в том числе автоматизация системы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ТОРО)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2021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АО "Казмунайгаз" (по согласованию)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  Собственные средства АО "Казмунайгаз" 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Собственные средства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7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Автоматизация управления режимами Единой Электоэнергетической Системы Казахстана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2020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АО "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KEGOC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" (по согласованию), МЭ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Собственные средства АО "KEGOC"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Собственные средства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8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Внесение изменений и дополнений в НПА в части применения цифровых технологий для повышения безопасности на производстве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НПА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декабрь 2018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МИР, НПП РК "Атамекен" (по согласованию) 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9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Создание правовых условий для развития промышленного интернета вещей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НПА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июнь 2018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МИК, МНЭ, МИР, МО, МОАП, МФ, КНБ (по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согласованию)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10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Внедрение цифровых технологий крупными компаниями горно-металлургического комплекса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2022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Крупные предприятия горно-металлургического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комплекса (по согласованию), МИР, МИК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Собственные средства 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Собственные средства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  <w:lang w:val="ru-RU"/>
              </w:rPr>
              <w:t xml:space="preserve">Задача 2: Цифровизация транспорта и логистики 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Показатели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6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Годовой объем транзитных перевозок грузов, перевозимых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контейнерами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тыс.ДФЭ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МИР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536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1243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2000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2200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2400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7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Доля автомобильных дорог республиканского значения, где используются цифровые технологии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МИР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0,85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22,8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Мероприятия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11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Создание системы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мультимодальных перевозок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2018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АО "НК "Қазақстан темі</w:t>
            </w: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жолы" (по согласованию), МИР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Собственные средства АО "НК "Қазақстан темі</w:t>
            </w: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жолы"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Собственные средства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12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Внедрение АСУ "Магистраль"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2020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АО "НК "Қазақстан темі</w:t>
            </w: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жолы" (по согласованию), МИР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Собственные средства АО "НК "Қазақстан темі</w:t>
            </w: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жолы"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Собственные средства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13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Создание и внедрение интеллектуальной транспортной системы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2021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МИР,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АО "НИКХ "Зерде" (по согласованию)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По результатам разработки концепции 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Внебюджетные средства (ГЧП)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14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Внедрение системы по управлению дорожными активами с применением цифровых технологий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2021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МИР, АО "НИКХ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"Зерде" (по согласованию)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По результатам разработки концепции 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Внебюджетные средства (ГЧП)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Задача 3: Цифровизация сельского хозяйства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Показатель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8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Рост объема экспорта продовольственных товаров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(к 2017 году)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27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44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61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69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Мероприятия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15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C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оздание и внедрение системы прослеживаемости сельскохозяйственной продукции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2019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МСХ, АО "НИКХ "Зерде" (по согласованию)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По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результатам разработки концепции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Внебюджетные средства (ГЧП)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16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Внедрение элементов "точного земледелия" в ряде фермерских хозяйств, включая применение метеорологических станций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2018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МСХ, Агротехнологический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Хаб (по согласованию)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За счет собственных средств Агротехнологического Хаба, частные инвестиции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Собственные средства, частные инвестиции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Задача 4: Развитие электронной торговли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Показатель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9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Рост количества онлайн заказов в розничной торговле (к 2016 году)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МНЭ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56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95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144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205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281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Мероприятия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17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Внедрение электронной торговли в АПК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2019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МСХ, АО "НИКХ "Зерде" (по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согласованию)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Финансирование не требуется 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18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Оказание сервисной поддержки в ведении электронной торговли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2021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МНЭ, АО "Казпочта" (по согласованию), МФ, НПП РК "Атамекен" (по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согласованию)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По результатам разработки ТЭО 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Новая бюджетная программа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19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Развитие почтовой инфраструктуры для сокращения сроков доставки почтовых отправлений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- ежегодно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АО "Казпочта" (по согласованию)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 Собственные средства 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  Собственные средства 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20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Совершенствование законодательства по вопросам электронной торговли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НПА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март 2018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МНЭ, МИК, МФ, МСХ, НПП РК "Атамекен" (по согласованию), АО "Казпочта" (по согласованию), АО "НИКХ "Зерде" (по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согласованию)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Финансирование не требуется 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  <w:lang w:val="ru-RU"/>
              </w:rPr>
              <w:t>Задача 5: Развитие финансовых технологий и безналичных платежей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Показатель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10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Рост безналичных платежей посредством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цифровых технологий (к 2019 году)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НБ (по согласованию)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18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27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35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Мероприятия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21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Внедрение удаленной идентификации личности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2020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НБ (по согласованию), МИК, МФ, ОЮЛ "Ассоциация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финансистов Казахстана" (по согласованию), БВУ (по согласованию)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Собственные средства 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Собственные средства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22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Внедрение регулирования в части создания Открытых платформ (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Open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API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) в финансовой отрасли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СТПО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2020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НБ (по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согласованию), МИК, ОЮЛ "Ассоциация финансистов Казахстана" (по согласованию), БВУ (по согласованию)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23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Разработка стандарта электронного обмена документацией, закрепление легитимности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электронных договоров (в т.ч. страховых полисов)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2019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НБ (по согласованию), страховые организации (по согласованию)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Собственные средства 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Собственные средства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24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Разработка мер по развитию безналичных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платежей и снижению наличного оборота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2019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НБ (по согласованию), МНЭ, МФ, ОЮЛ "Ассоциация финансистов Казахстана" (по согласованию), БВУ (по согласованию)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25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Модернизация системы межбанковских расчетов, способствующая поддержке платежей в режиме реального времени и внедрение на ее базе мобильных платежей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2021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НБ (по согласованию), ОЮЛ "Ассоциация финансистов Казахстана"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(по согласованию), БВУ (по согласованию)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Финансирование не требуется 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26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Разработка мер по обеспечению интероперабельности систем электронных денег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2019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НБ (по согласованию), операторы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систем электронных денег (по согласованию)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Финансирование не требуется 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27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Внедрение платежного инструмента, интегрированного с инфраструктурой электронного правительства, для перевода граждан в безналичную среду с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целью продвижения мобильных платежей и мобильного правительства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2018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АО "Казпочта" (по согласованию)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Собственные средства АО "Казпочта"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Собственные средства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II</w:t>
            </w: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  <w:lang w:val="ru-RU"/>
              </w:rPr>
              <w:t xml:space="preserve"> Направление: Переход на цифровое </w:t>
            </w: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  <w:lang w:val="ru-RU"/>
              </w:rPr>
              <w:t>Государство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Задача 1: Государство - гражданам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Показатель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11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Уровень удовлетворенности населения качеством самостоятельно полученных электронных услуг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МИК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80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81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82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83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84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Мероприятия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28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Развитие компонентов Электронного Правительства (ПЭП, ИИС ЦОН, ЕЛ,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mgov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)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2021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МИК, АО "НИКХ "Зерде" (по согласованию), АО "НИТ" (по согласованию), НАО "ГК "Правительство для граждан"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(по согласованию), МИО</w:t>
            </w:r>
            <w:proofErr w:type="gramEnd"/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По результатам разработки ТЭО 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002 "Развитие "Электронного правительства, инфраструктуры и информационной безопасности"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29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Развитие электронной биржи труда (консолидация систем ИС "Рынок труда", портал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Enbek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.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kz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, частные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агентства занятости и онлайн интернет площадки)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 декабрь 2021 года 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МТСЗН, АО "ЦРТР" (по согласованию), частные компании (по согласованию)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По результатам разработки концепции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Внебюджетные средства (ГЧП)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30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Развитие и внедрение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систем социально-трудовой сферы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2021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МТСЗН, МИО, АО "ЦРТР" (по согласованию), НАО "ГК "Правительство для граждан" (по согласованию), заинтересованные ГО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По результатам разработки ТЭО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Новая бюджетная программа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31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Создание и внедрение системы ведения профилей работника и учета трудовых договоров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2021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МТСЗН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По результатам разработки концепции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Внебюджетные средства (ГЧП)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32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Создание и внедрение информационной системы Единого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государственного кадастра недвижимости путем консолидации информационных систем (АИС ГЗК, ГБД РН)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2021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НАО "ГК "Правительство для граждан" (по согласованию), МЮ, МИК, МСХ, АО "НИКХ "Зерде" (по согласованию), АО "НИТ" (по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согласованию), МИО</w:t>
            </w:r>
            <w:proofErr w:type="gramEnd"/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Собственные средства 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Собственные средства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33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Обеспечение доступа БВУ к государственным базам данных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2018-2019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МИК, ГП (по согласованию), МФ, НБ (по согласованию), ОЮЛ "Ассоциация финансистов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Казахстана" (по согласованию), БВУ (по согласованию)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Финансирование не требуется 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34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Внедрение виртуального консультанта на основе искусственного интеллекта (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Chat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-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bot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), услуг предоставляемых порталом Электронного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Правительства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2019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МИК, АО "НИТ" (по согласованию), НАО "ГК "Правительство для граждан" (по согласованию), заинтересованные ГО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Собственные средства АО "НИТ" 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Собственные средства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35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Внедрение платформы для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информатизации и обеспечения интероперабельности информационных систем здравоохранения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2018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МЗ, МИО, РГП "РЦЭЗ" (по согласованию)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МФИ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МФИ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36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Внедрение элементов мобильного здравоохранения (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mHealth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), в т.ч.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"удаленные консультации"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2020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МЗ, МИО, частные компании (по согласованию), РГП "РЦЭЗ" (по согласованию)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Собственные средства (внебюджетные средства) 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Собственные средства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37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C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оздание и внедрение искусственного интеллекта в части установления диагноза и управления планами лечения 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2020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МЗ, МИО, частные компании (по согласованию), РГП "РЦЭЗ" (по согласованию)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Собственные средства (внебюджетны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е средства) 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Собственные средства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38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Внедрение медицинских информационных систем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декабрь, ежегодно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МЗ, МИО, РГП "РЦЭЗ" (по согласованию)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По результатам разработки концепции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Задача 2: Государство - бизнесу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Показатели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12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Позиции в рейтинге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Doing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Business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по индикатору "Налогообложение"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место в рейтинге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55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45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35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13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Повышение охвата субъектов частного предпринимательства мерами государственной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поддержки за счет автоматизации порядка их предоставления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тыс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. субъектов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МНЭ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145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150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250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300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Мероприятия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39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Реализация "единого окна" по мерам господдержки МСБ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2018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МНЭ, МИР, МСХ,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НПП РК "Атамекен" (по согласованию), АО "Казахтелеком" (по согласованию), АО "НУХ "Байтерек" (по согласованию), АО "НУХ "КазАгро" (по согласованию), АО "НИКХ "Зерде" (по согласованию)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Финансирование не требуется 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40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Создание и внедрение открытой цифровой платформы для МСБ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2018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АО "Казахтелеком" (по согласованию), МНЭ, НПП РК "Атамекен" (по согласованию), АО "НИКХ "Зерде" (по согласованию)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Собственные средства АО "Казахтелеком" 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Собственные средства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41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Создание и предоставление базового пакета </w:t>
            </w: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ИТ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услуг и моделей цифровизации бизнес проектов для МСБ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2021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МНЭ, МИК, НПП РК "Атамекен" (по согласованию), АО "Казахтелеком" (по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согласованию), АО "НИКХ "Зерде" (по согласованию)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 Будут рассмотрены в рамках уточнения бюджета на 2018-2021 годы 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Новая бюджетная программа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42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Администрирование Н</w:t>
            </w: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ДС с пр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именением технологии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blockchain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2021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МФ,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АКФ ПИТ (по согласованию)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МФИ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МФИ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43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Развитие и внедрение информационной системы маркировки товаров контрольными (иденфикационными) знаками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2019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Заинтересованные ГО, МИК, АО "НИКХ "Зерде" (по согласованию)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За счет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средств администраторов бюджетных программ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104 подпрограмма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159 специфика "Оплата прочих услуг и работ"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44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Автоматизация сквозного мониторинга движения товаров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2018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МФИ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МФИ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  <w:lang w:val="ru-RU"/>
              </w:rPr>
              <w:t xml:space="preserve">Задача 3: </w:t>
            </w: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  <w:lang w:val="ru-RU"/>
              </w:rPr>
              <w:t>Цифровизация внутренней деятельности госорганов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Показатель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14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Индекс развития электронного правительства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место в рейтинге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МИК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30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28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25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Мероприятия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45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Переход к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"электронным гражданским делам" и создание электронного зала судебного заседания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тыс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. тенге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2020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ВС (по согласованию)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795 263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293 308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293 308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1 381 879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001 "Обеспечение судебными органами судебной защиты прав, свобод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и законных интересов граждан и организаций"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46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Создание и внедрение автоматизированной информационной системы для деятельности следователей и участковых инспекторов полиции органов внутренних дел Республики Казахстан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декабрь 2021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МВД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По результатам корректировки ТЭО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код 076, специфика 434, "Развитие информационных систем МВД РК"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47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Создание и внедрение геоинформационной платформы специального назначения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тыс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. тенге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2021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МО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250 000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300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000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750 000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1 300 000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Новая бюджетная программа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48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Создание и внедрение проекта "Электронное дело" (Электронное уголовное дело, Единый реестр административных производств, Единый реестр субъектов и объектов проверок, Аналитический центр и Электронные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обращения)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2021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ГП (по согласованию), заинтересованные ГО, МИО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По результатам разработки ТЭО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502-015 "Создание оперативной системы обеспечения правовой статистической информации"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49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Повышение собираемости налогов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путем интеграции баз данных различных источников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2019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МФИ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МФИ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50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Цифровизация процессов Минфина оказания государственных услуг государственным органам и бизнесу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тыс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. тенге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декабрь 2020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1 992 068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429 028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300 000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2 721 096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030 "Создание и развитие информационных систем Министерства финансов Республики Казахстан", подпрограмма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100 "Развитие информационных систем Комитета Казначейства", подпрограмма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101 "Развитие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автоматизированной интегрированной информационной системы "Электронные государственные закупки"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51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Развитие </w:t>
            </w: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ИК-платформы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"электронного правительства", включая стандартные решения (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IaaS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,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PaaS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,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SaaS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)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2018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АО "НИТ" (по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согласованию)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  Собственные средства АО "НИТ" 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Собственные средства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52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Создание и внедрение проекта "Национальная инфраструктура пространственных данных"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тыс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. тенге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2021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МСХ, МИК, МОАП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4 422 496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4 724 901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12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204 748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2 572 010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23 924 155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Новая бюджетная программа, 259 "Повышение доступности информации о земельных ресурсах",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новая подпрограмма 950 "Создание информационной системы государственного геодезического обеспечения РК"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53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Создание и внедрение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интерактивной панели цифровизации Казахстана для аппаратов Президента Республики Казахстан и Премьер-Министра Республики Казахстан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Инфопанели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2018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МНЭ, МИК, АО "НИКХ "Зерде" (по согласованию)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По результатам разработки ЗНП 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 Новая бю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джетная программа 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54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Создание и внедрение информационной системы "Единый архив электронных документов" 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тыс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. тенге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2020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МКС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554 587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497 710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604 813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1 657 110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программа 33 подпрограмма 12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55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Создание и внедрение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информационной системы "Национальный банк данных минеральных ресурсов Республики Казахстан"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2019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МИР, АО "Казгеология" (по согласованию)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Собственные средства АО "Казгеология"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Собственные средства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56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Создание и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внедрение автоматизированной системы по сбору данных об авиапассажирах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2020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МИР, все авиаперевозчики (по согласованию)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По результатам разработки концепции 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Внебюджетные средства (ГЧП)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57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Создание и внедрение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"Единой информационной системы дипломатической службы"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2021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По результатам разработки ТЭО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001 "Услуги по координации внешнеполтической деятельности"</w:t>
            </w: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подпрограмма 104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58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Переход на облачный документооборот в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государственных органах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2019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МИК, ЦГО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По результатам разработки ЗНП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002 "Развитие "Электронного правительства, инфраструктуры и информационной безопасности"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59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Создание и внедрение единой информационной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системы науки Казахстана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тыс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. тенге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2020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366 622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390 500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489 464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1 246 586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001 "Формирование и реализация государственной политики в области образования и науки"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60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Создание и внедрение системы управления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образования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тыс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. тенге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2019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21 280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153 164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326 198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500 642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001 "Формирование и реализация государственной политики в области образования и науки"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61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Создание и внедрение ИС "Е – законодательство"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Отчетная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2019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МЮ, ЦГО, МИО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По результатам разработки ЗНП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104 "Обеспечение функционирования информационных систем и информационно-техническое обеспечение государственного органа"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62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Реализация инициатив по цифровизации объектов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культуры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2021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МКС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По результатам разработки концепции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Внебюджетные средства (ГЧП)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63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Создание и внедрение единой государственной системы мониторинга окружающей среды и природных ресурсов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тыс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. тенге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Отчетная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2021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МЭ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529 113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495 939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217 224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1 242 276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Новая бюджетная программа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Задача 4: "Умные" города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Показатель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15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Количество городов Казахстана, вошедших в один из глобальных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рейтингов "умных" городов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ед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МИО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Мероприятия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64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Реализация компонентов "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Smart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Astana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" согласно концепции "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Smart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Astana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"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2018-2022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МИО (Акимат Астаны)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 По результатам разработки концепции 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65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Реализация компонентов "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Smart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Almaty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" согласно концепции "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Smart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Almaty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"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2018-2022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МИО (Акимат Алматы)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  По результатам разработки концепции 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66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Реализация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компонентов "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Smart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Ontustyk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" согласно концепции "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Smart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Ontustyk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"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2018-2022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МИО (Акимат ЮКО)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  По результатам разработки концепции 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67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Реализация компонентов "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Smart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Aktobe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" согласно концепции "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Smart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Aktobe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"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2018-2022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МИО (Акимат Актобе)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  По результатам разработки концепции 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68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Реализация компонентов "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Smart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Karaganda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" согласно концепции "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Smart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Karaganda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"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2018-2022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МИО (Акимат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Караганды)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  По результатам разработки концепции 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69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Создание и функционирование центров оперативного управления малых городов Республики Казахстан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тыс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. тенге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12 ЦОУ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2018-2020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МВД, МИО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1 710 000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2 280 000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2 280 000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6 270 000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код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077, специфика 434 "Создание центров оперативного управления малых городов Республики Казахстан"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70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Использование сайтов строений (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QR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-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code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с Новыми почтовыми индексами) акиматами и КСК при взаимодействии с населением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декабрь -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ежегодно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МИО, АО "Казпочта" (по согласованию)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III</w:t>
            </w: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  <w:lang w:val="ru-RU"/>
              </w:rPr>
              <w:t xml:space="preserve"> Направление: Реализация цифрового Шелкового пути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  <w:lang w:val="ru-RU"/>
              </w:rPr>
              <w:t xml:space="preserve">Задача 1: Расширение покрытия сетей связи и ИКТ </w:t>
            </w: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  <w:lang w:val="ru-RU"/>
              </w:rPr>
              <w:t>инфраструктуры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Показатель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16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Уровень проникновения домашних сетей широкополосного доступа в Интернет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МИК, операторы связи (по согласованию) 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79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81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82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83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Мероприятия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71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Обеспечение широкополосным доступом </w:t>
            </w: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к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интернет сельские населенные пункты РК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2018-2021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АО "Казахтелеком" (по согласованию), АО "Транстелеком" (по согласованию), операторы связи (по согласованию), МИК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По результатам р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азработки концепции 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Внебюджетные средства (ГЧП)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72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Создание и ввод в эксплуатацию космической системы связи "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KazSat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-2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R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" для плановой замены космического аппарата "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KazSat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-2"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тыс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. тенге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2021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МОАП, МИК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Примечание: Ввод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в эксплуатацию КСС "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KazSat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-2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R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" в 2023 году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15 000 000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15 000 000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30 000 000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Новая бюджетная программа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73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Строительство сети цифрового эфирного телерадиовещания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тыс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. тенге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2020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МИК, АО "Казтелерадио" (по согласованию)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3 617 138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7 660 041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9 370 841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20 648 020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004 "Увеличение уставного капитала АО "Национальный инфокоммуникационный холдинг Зерде" для развития и внедрения цифрового телерадиовещания"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  <w:lang w:val="ru-RU"/>
              </w:rPr>
              <w:t>Задача 2: Обеспечение информационной безопасности в сфере</w:t>
            </w: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  <w:lang w:val="ru-RU"/>
              </w:rPr>
              <w:t xml:space="preserve"> ИКТ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Показатель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17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Повышение уровня глобального индекса кибербезопасности Республики Казахстан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индекс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КНБ (по согласованию)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0,380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0,400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0,500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0,550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0,600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Мероприятия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74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Создание технологического центра для анализа Больших данных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тыс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. тенге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2021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МИК, АО "НИТ" (по согласованию)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653 176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7 111 115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6 595 220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14 359 511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Новая бюджетная программа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75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Оснащение лаборатории по исследованию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вредоносного кода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тыс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. тенге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2020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КНБ (по согласованию), РГП "ГТС" (по согласованию) 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30 111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7 055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7 055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44 221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001 "Обеспечение национальной безопасности"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76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Оснащение лаборатории исследований средств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информационной безопасности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тыс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. тенге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2019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КНБ (по согласованию), РГП "ГТС" (по согласованию) 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851 383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354 177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1 205 560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001 "Обеспечение национальной безопасности"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77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Оснащение испытательной лаборатории в сфере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информационной безопасности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тыс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. тенге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2020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КНБ (по согласованию), РГП "ГТС" (по согласованию) 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61 491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61 491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61 491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184 473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001 "Обеспечение национальной безопасности"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78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Координация по вопросам реагирования на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инциденты информационной безопасности в казахстанском сегменте интернета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тыс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. тенге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2020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КНБ (по согласованию), РГП "ГТС" (по согласованию) 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182 096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309 933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300 918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792 947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001 "Обеспечение национальной безопасности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"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79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Создание Национального координационного центра информационной безопасности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тыс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. тенге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2020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КНБ (по согласованию), МОАП, МИК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6 400 000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12 800 000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9 600 000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28 800 000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001 "Обеспечение национальной безопасности"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80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Разработка и принятие национальных стандартов по информационной безопасности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Утвержденные стандарты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2019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МИР, МОАП, заинтересованные ГО,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НПП РК "Атамекен" (по согласованию)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 пределах средств, предусмотренных по бюджетной программе 061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061 "Услуги в сфере технического регулирования и метрологии"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IV</w:t>
            </w: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  <w:lang w:val="ru-RU"/>
              </w:rPr>
              <w:t xml:space="preserve"> Направление: Развитие человеческого капитала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  <w:lang w:val="ru-RU"/>
              </w:rPr>
              <w:t xml:space="preserve">Задача 1: Повышение цифровой грамотности в среднем, техническом и профессиональном, высшем </w:t>
            </w: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  <w:lang w:val="ru-RU"/>
              </w:rPr>
              <w:t>образовании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Показатель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18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Доля школ, внедривших обучение основам программирования с начальной школы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МИК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1,3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6,7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13,5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27,1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40,6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19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Рост количества выпущенных специалистов с базовыми ИКТ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компетенциями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тыс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. </w:t>
            </w: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чел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260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270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280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290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300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20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Количество выпущенных ИКТ специалистов (ежегодно)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тыс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. </w:t>
            </w: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чел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18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22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25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30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Мероприятия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81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Включение основ программирования в начальном образовании со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2-класса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Отчетная информация 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июнь - ежегодно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В рамках средств, предусмотренных БП 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82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Актуализация программ среднего образования (5-11 классы) путем пересмотра языков программирования, с учетом включения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STEM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-элементов (робототехника,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виртуальная реальность, 3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D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-принтинг и другие)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Актуализированная учебная программа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июнь - ежегодно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МОН, НПП РК "Атамекен" (по согласованию), МИК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В рамках средств, предусмотренных БП 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83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Актуализация образовательных программ по ведущим специальностям, в т.ч. ИКТ с учетом современных трендов 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июнь - ежегодно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МОН, ВУЗы (по согласованию), МИК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 пределах предусмотренных средств МОН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103 "Методология обеспечения в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сфере высшего и послевузовского образования"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84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Открытие филиалов ИКТ кафедр ВУЗов на предприятиях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- ежегодно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МОН, ВУЗы (по согласованию), предприятия (по согласованию)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 Собственные средства вузов (внебюджетные средства) 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Собственные средства вузов (внебюджетные средства)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85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Привлечение производственных ИКТ специалистов в учебный образовательный процесс путем проведения практических и лабораторных занятий на базе вузов и/или предприятий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декабрь -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ежегодно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ВУЗы (по согласованию), МОН, ОЮЛ "КАИТК" (по согласованию), ОЮЛ "НТА" (по согласованию)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Финансирование не требуется 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86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Открытие центров компетенций на базе вузов РК для повышения цифровых навыков студентов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- ежегодно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ВУЗы (по согласованию), МОН, МИК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 Собственные средства предприятий (внебюджетные средства) 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Собственные средства предприятий (внебюджетные средства)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87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Создание Института промышленной автоматизации и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цифровизации на базе существующей инфраструктуры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июнь 2018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МОН, МИК, МИР, заинтересованные органы и организации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По результатам разработки концепции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Внебюджетные средства (ГЧП)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  <w:lang w:val="ru-RU"/>
              </w:rPr>
              <w:t xml:space="preserve">Задача 2: Повышение цифровой </w:t>
            </w: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  <w:lang w:val="ru-RU"/>
              </w:rPr>
              <w:t>грамотности населения (подготовка, переподготовка)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Показатели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21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Доля профессиональных кадров, прошедших обучение цифровой грамотности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МИК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0,22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0,44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0,66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0,88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1,1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Мероприятия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88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Проведение обучающих курсов базовым цифровым навыкам для населения, переподготовке кадров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- ежегодно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МИО, МИК, АО "Казпочта" (по согласованию), НАО "ГК "Правительство для граждан" (по согласованию), заинтересованные ГО</w:t>
            </w:r>
            <w:proofErr w:type="gramEnd"/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За счет местного бюджета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89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Проведение обучающих курсов базовым и практическим цифровым навыкам для представителей МСБ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Отчетная информация 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- ежегодно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МНЭ, МИК, НПП РК "Атамекен" (по согласованию)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В пределах средств, предусмотренных по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бюджетной программе 087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программа 087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90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Создание национальной платформы открытого образования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2019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МОН, ОЮЛ "Ассоциация вузов РК" (по согласованию), АОО "Назарбаев Университет" (по согласованию)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По результатам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разработки ЗНП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103 "Методология обеспечения в сфере высшего и послевузовского образования"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91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Цифровая академия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тыс.тенге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2018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АДГС (по согласованию), РГКП "Академия государственного управления при Президенте РК"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(по согласованию)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622 904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622 904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001 "Формирование и реализация единой государственной политики в сфере государственной службы"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92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Разработка и утверждение профессиональных стандартов в области ИКТ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- ежегодно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НПП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РК "Атамекен" (по согласованию), ОЮЛ "КАИТК" (по согласованию), ОЮЛ "НТА" (по согласованию), заинтересованные ГО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МФИ 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МФИ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93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Разработка и утверждение профессиональных стандартов отраслей экономики, с учетом требований к владению цифровыми навыками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- ежегодно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НПП РК "Атамекен" (по согласованию), Ассоциации РК (по согласованию), АО "НИКХ "Зерде" (по согласованию), заинтересованные ГО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МФИ 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МФИ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V</w:t>
            </w: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  <w:lang w:val="ru-RU"/>
              </w:rPr>
              <w:t xml:space="preserve"> Направление: Создание инновационной экосистемы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Переход на проактивные услуги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  <w:lang w:val="ru-RU"/>
              </w:rPr>
              <w:t>Задача 1: Поддержка площадок инновационного развития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Показатель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22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Количество стартап компаний, поддерживаемых технопарками, инкубаторами и акселераторами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ед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МИК, МИР,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АО "НИКХ "Зерде" (по согласованию), АКФ ПИТ (по согласованию)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200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300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500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800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1000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Мероприятия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94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Создание международного технопарка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IT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-стартапов (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Astana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hub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)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Отчетная информация 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февраль 2018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АО "НИКХ "Зерде" (по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согласованию), МФЦА (по согласованию)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Собственные средства АО "НИКХ "Зерде"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Собственные средства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95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Развитие существующих в РК акселераторов и инкубаторов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Отчетная информация 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- ежегодно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МИР, МИК, АО "НИКХ "Зерде" (по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согласованию), АКФ ПИТ (по согласованию)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96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Выработка предложений по совершенствованию законодательства в сфере интеллектуальной собственности по вопросам патентования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IT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-решений с учетом опыта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стран ОЭСР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НПА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2018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МЮ, МИК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97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Создание Платформы "Индустрия 4.0" на базе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Astana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hub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2019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АО "НИКХ "Зерде" (по согласованию), МФЦА (по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согласованию), АО "КИРИ" (по согласованию)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 Собственные средства АО "НИКХ "Зерде" 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Собственные средства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98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Инновационное взаимодействие в добывающем секторе "Добыча 4.0"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2021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МИР, МОН, горнодобывающие компании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(по согласованию), АГГМП (по согласованию)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99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Создание и функционирование лаборатории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BIM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+ для цифровизации строительной отрасли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март 2019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МИР, АКФ ПИТ (по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согласованию)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Собственные средства АКФ ПИТ 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Собственные средства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  <w:lang w:val="ru-RU"/>
              </w:rPr>
              <w:t>Задача 2: Развитие технологического предпринимательства, стартап культуры и НИОКР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Показатели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23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Количество поданных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международных заявок на патенты от компаний/физических лиц резидентов РК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ед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МИК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1250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1300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1365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1433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1505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24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Рост количества стартапов, </w:t>
            </w: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прошедших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программу акселерации, в технопарке "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Astana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Hub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"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ед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МИК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33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90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150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220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298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Мероприятия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100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Создание благоприятных условий для привлечения международных технических предпринимателей, ученых и квалифицированных специалистов в РК (в т.ч. облегчение визового процесса, поддержка с жилищными условиями и т.д.)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Отчетная информация 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- ежегодно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АО "НИКХ "Зерде" (по согласованию)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101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Развитие программ наставничества для стартапов на национальном уровне в рамках существующих мер государственной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поддержки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Отчетная информация 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- ежегодно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МИК, МНЭ, МИР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102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Организация коммуникационной площадки по вопросам продвижения </w:t>
            </w: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ИТ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компаний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Отчетная информация 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- ежегодно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АО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"НИКХ "Зерде" (по согласованию)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Собственные средства АО "НИКХ "Зерде"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Собственные средства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103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Популяризация инновационной деятельности (размещение промо-роликов в СМИ, интернет-ресурсах, социальных сетях, организация деловых форумов, выставок и т.д.)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Отчетная информация 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- ежегодно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МИК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104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Открытие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R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&amp;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D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центров международных ИКТ компаний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Отчетная информация 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- ежегодно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АО "НИКХ "Зерде" (по согласованию)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 требуется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105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Создание благоприятных условий для деятельности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R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&amp;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D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организаций РК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НПА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- ежегодно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МИК, МОН, МИР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106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Открытие школ технологического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предпринимательства для стимулирования инновационной деятельности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Отчетная информация 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- ежегодно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МОН, МИК, МИР, АО "НИКХ "Зерде" (по согласованию)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107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Создание и внедрение проекта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e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-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Residence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2021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МИД, МВД, МИК, МНЭ, МФ, АО "НИКХ "Зерде" (по согласованию)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По результатам разработки концепции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Внебюджетные средства (ГЧП)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108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Реализация партнерства с международными инновационными кластерами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Отчетная информация 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- ежегодно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МИР, МИК, МИД</w:t>
            </w: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,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АО "НИКХ "Зерде" (по согласованию)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Задача 3: Привлечение "венчурного" финансирования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Показатель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25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Улучшение в рейтинге ГИК ВЭФ по индикатору "Доступность венчурного капитала"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место в рейтинге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МИР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95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90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85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80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Мероприятия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109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Формирование законодательной базы для рискового финансирования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инновационных проектов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НПА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- ежегодно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МИР, МНЭ, МФ, МИК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110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Совершенствование статистического учета деятельности венчурных фондов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НПА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- ежегодно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МИР, НБ (по согласованию),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МНЭ, МИК, МФ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111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Содействие созданию корпоративных венчурных фондов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Отчетная информация 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- ежегодно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МИР, МИК, МНЭ, АО "НАТР" (по согласованию), АО "НИКХ "Зерде" (по согласованию), АО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"ФНБ "Самрук-Казына" (по согласованию), АО "НУХ Байтерек" (по согласованию)</w:t>
            </w:r>
            <w:proofErr w:type="gramEnd"/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Собственные средства (внебюджетные средства)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Собственные средства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112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Создание фонда соинвестирования в рамках Технопарка "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Astana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Hub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"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Отчетная информация 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декабрь 2018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МИК, МНЭ, МИР, АО "НИКХ "Зерде" (по согласованию), АО "ФНБ "Самрук-Казына" (по согласованию), АО "НУХ Байтерек" (по согласованию)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Собственные средства (внебюджетные средства)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Собственные средства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  <w:lang w:val="ru-RU"/>
              </w:rPr>
              <w:t xml:space="preserve">Задача 4: Формирование спроса на </w:t>
            </w: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  <w:lang w:val="ru-RU"/>
              </w:rPr>
              <w:t>инновации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Показатель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26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Доля </w:t>
            </w: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ИТ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услуг в общем объеме ИТ рынка (в сопоставимых с развитыми странами цифрах)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МИК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15,6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19,7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23,8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27,9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32,4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27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Доля местного содержания в </w:t>
            </w: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ИТ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услугах 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%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МИК, АО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"НИКХ "Зерде" (по согласованию), ЦГО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26,8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37,6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48,4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59,2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70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Мероприятия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113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Создание благоприятных условий для развития государственных и корпоративных инноваций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Отчетная информация 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- ежегодно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МИК, МИР, АО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"НИКХ "Зерде" (по согласованию)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114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Создание финансовых, фискальных и иных стимулов для предприятий к внедрению технологий Индустрии 4.0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НПА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2018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МИР, МИК, МФ, МНЭ, АО "НУХ Байтерек" (по согласованию), НПП РК "Атамекен" (по согласованию) 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115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Предоставление инновационных грантов по проектам цифровизации отраслей экономики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- ежегодно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МИР, АО "НАТР" (по согласованию)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 пределах ранее выделенных средств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205 "Обеспечение инновационного развития Республики Казахстан"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116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Развитие системы трансферта технологий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 Отчетная информация 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декабрь -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ежегодно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МИР, АО "НАТР" (по согласованию)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 пределах средств, предусмотренных по бюджетной программе 205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РБ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205 "Обеспечение инновационного развития Республики Казахстан"</w:t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117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Поддержка инновационной деятельности компаний (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collaborative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innovation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)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Отчетная информация 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декабрь - ежегодно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МИР, МИК, МНЭ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118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Формирование национального реестра доверенного программного обеспечения и продукции электронной промышленности Республики Казахстан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НПА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март 2018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МОАП, ОЮЛ "КАИТК" (по согласованию)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119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Проведение на регулярной основе мониторинга и анализа развития местного содержания в области ИКТ 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Отчетная информация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декабрь -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ежегодно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МИР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b/>
                <w:color w:val="000000"/>
                <w:sz w:val="20"/>
              </w:rPr>
              <w:t>120</w:t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Разработка и принятие дорожной карты по развитию </w:t>
            </w:r>
            <w:proofErr w:type="gramStart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ИТ</w:t>
            </w:r>
            <w:proofErr w:type="gramEnd"/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 отрасли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НПА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март 2018 года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МИК, ЦГО, АО "НИКХ "Зерде" (по согласованию), НПП РК "Атамекен" (по согласованию), ОЮЛ "КАИТК"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(по согласованию)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Финансирование не требуется</w:t>
            </w:r>
          </w:p>
        </w:tc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</w:tbl>
    <w:p w:rsidR="00CD1B2C" w:rsidRPr="00AD7D00" w:rsidRDefault="00B454B1">
      <w:pPr>
        <w:spacing w:after="0"/>
        <w:rPr>
          <w:rFonts w:ascii="Times New Roman" w:hAnsi="Times New Roman" w:cs="Times New Roman"/>
        </w:rPr>
      </w:pPr>
      <w:r w:rsidRPr="00AD7D00">
        <w:rPr>
          <w:rFonts w:ascii="Times New Roman" w:hAnsi="Times New Roman" w:cs="Times New Roman"/>
          <w:b/>
          <w:color w:val="000000"/>
          <w:sz w:val="20"/>
        </w:rPr>
        <w:t>Глоссарий: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71"/>
        <w:gridCol w:w="9279"/>
        <w:gridCol w:w="121"/>
        <w:gridCol w:w="50"/>
        <w:gridCol w:w="141"/>
      </w:tblGrid>
      <w:tr w:rsidR="00CD1B2C" w:rsidRPr="00AD7D00" w:rsidTr="00AD7D00">
        <w:trPr>
          <w:trHeight w:val="30"/>
          <w:tblCellSpacing w:w="0" w:type="auto"/>
        </w:trPr>
        <w:tc>
          <w:tcPr>
            <w:tcW w:w="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591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АИС ГЗК - автоматизированной информационной системы Государственного Земельного Кадастра</w:t>
            </w:r>
          </w:p>
        </w:tc>
      </w:tr>
      <w:tr w:rsidR="00CD1B2C" w:rsidRPr="00AD7D00" w:rsidTr="00AD7D00">
        <w:trPr>
          <w:trHeight w:val="30"/>
          <w:tblCellSpacing w:w="0" w:type="auto"/>
        </w:trPr>
        <w:tc>
          <w:tcPr>
            <w:tcW w:w="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92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АПК - агропромышленный комплекс</w:t>
            </w:r>
          </w:p>
        </w:tc>
        <w:tc>
          <w:tcPr>
            <w:tcW w:w="1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 w:rsidTr="00AD7D00">
        <w:trPr>
          <w:trHeight w:val="30"/>
          <w:tblCellSpacing w:w="0" w:type="auto"/>
        </w:trPr>
        <w:tc>
          <w:tcPr>
            <w:tcW w:w="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АСУ - автоматическая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система управления</w:t>
            </w:r>
          </w:p>
        </w:tc>
        <w:tc>
          <w:tcPr>
            <w:tcW w:w="1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 w:rsidTr="00AD7D00">
        <w:trPr>
          <w:trHeight w:val="30"/>
          <w:tblCellSpacing w:w="0" w:type="auto"/>
        </w:trPr>
        <w:tc>
          <w:tcPr>
            <w:tcW w:w="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4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ГБД РН - государственная база данных "Регистр недвижимости"</w:t>
            </w:r>
          </w:p>
        </w:tc>
        <w:tc>
          <w:tcPr>
            <w:tcW w:w="19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CD1B2C" w:rsidRPr="00AD7D00" w:rsidTr="00AD7D00">
        <w:trPr>
          <w:trHeight w:val="30"/>
          <w:tblCellSpacing w:w="0" w:type="auto"/>
        </w:trPr>
        <w:tc>
          <w:tcPr>
            <w:tcW w:w="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9591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ГИК ВЭФ - глобальный индекс конкурентоспособности Всемирного экономического форума</w:t>
            </w:r>
          </w:p>
        </w:tc>
      </w:tr>
      <w:tr w:rsidR="00CD1B2C" w:rsidRPr="00AD7D00" w:rsidTr="00AD7D00">
        <w:trPr>
          <w:trHeight w:val="30"/>
          <w:tblCellSpacing w:w="0" w:type="auto"/>
        </w:trPr>
        <w:tc>
          <w:tcPr>
            <w:tcW w:w="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94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ЕЛ - государственная база данных "Е-лицензирование"</w:t>
            </w:r>
          </w:p>
        </w:tc>
        <w:tc>
          <w:tcPr>
            <w:tcW w:w="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CD1B2C" w:rsidRPr="00AD7D00" w:rsidTr="00AD7D00">
        <w:trPr>
          <w:trHeight w:val="30"/>
          <w:tblCellSpacing w:w="0" w:type="auto"/>
        </w:trPr>
        <w:tc>
          <w:tcPr>
            <w:tcW w:w="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9591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ИИС ЦОН -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интегрированная информационная система для Центров обслуживания населения</w:t>
            </w:r>
          </w:p>
        </w:tc>
      </w:tr>
      <w:tr w:rsidR="00CD1B2C" w:rsidRPr="00AD7D00" w:rsidTr="00AD7D00">
        <w:trPr>
          <w:trHeight w:val="30"/>
          <w:tblCellSpacing w:w="0" w:type="auto"/>
        </w:trPr>
        <w:tc>
          <w:tcPr>
            <w:tcW w:w="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92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НПЗ - нефтеперерабатывающий завод</w:t>
            </w:r>
          </w:p>
        </w:tc>
        <w:tc>
          <w:tcPr>
            <w:tcW w:w="1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 w:rsidTr="00AD7D00">
        <w:trPr>
          <w:trHeight w:val="30"/>
          <w:tblCellSpacing w:w="0" w:type="auto"/>
        </w:trPr>
        <w:tc>
          <w:tcPr>
            <w:tcW w:w="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4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ОЭСР - Организация экономического сотрудничества и развития</w:t>
            </w:r>
          </w:p>
        </w:tc>
        <w:tc>
          <w:tcPr>
            <w:tcW w:w="19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CD1B2C" w:rsidRPr="00AD7D00" w:rsidTr="00AD7D00">
        <w:trPr>
          <w:trHeight w:val="30"/>
          <w:tblCellSpacing w:w="0" w:type="auto"/>
        </w:trPr>
        <w:tc>
          <w:tcPr>
            <w:tcW w:w="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92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ПЭП - портал "электронного Правительства"</w:t>
            </w:r>
          </w:p>
        </w:tc>
        <w:tc>
          <w:tcPr>
            <w:tcW w:w="1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 w:rsidTr="00AD7D00">
        <w:trPr>
          <w:trHeight w:val="30"/>
          <w:tblCellSpacing w:w="0" w:type="auto"/>
        </w:trPr>
        <w:tc>
          <w:tcPr>
            <w:tcW w:w="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4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СТПО - спецификация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требований к программному обеспечению</w:t>
            </w:r>
          </w:p>
        </w:tc>
        <w:tc>
          <w:tcPr>
            <w:tcW w:w="19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CD1B2C" w:rsidRPr="00AD7D00" w:rsidTr="00AD7D00">
        <w:trPr>
          <w:trHeight w:val="30"/>
          <w:tblCellSpacing w:w="0" w:type="auto"/>
        </w:trPr>
        <w:tc>
          <w:tcPr>
            <w:tcW w:w="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94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ТОРО - техническое обслуживание и ремонтное обеспечение</w:t>
            </w:r>
          </w:p>
        </w:tc>
        <w:tc>
          <w:tcPr>
            <w:tcW w:w="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CD1B2C" w:rsidRPr="00AD7D00" w:rsidTr="00AD7D00">
        <w:trPr>
          <w:trHeight w:val="30"/>
          <w:tblCellSpacing w:w="0" w:type="auto"/>
        </w:trPr>
        <w:tc>
          <w:tcPr>
            <w:tcW w:w="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7D0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92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BIM - building information modeling</w:t>
            </w:r>
          </w:p>
        </w:tc>
        <w:tc>
          <w:tcPr>
            <w:tcW w:w="1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 w:rsidTr="00AD7D00">
        <w:trPr>
          <w:trHeight w:val="30"/>
          <w:tblCellSpacing w:w="0" w:type="auto"/>
        </w:trPr>
        <w:tc>
          <w:tcPr>
            <w:tcW w:w="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IaaS - Infrastructure as a Service</w:t>
            </w:r>
          </w:p>
        </w:tc>
        <w:tc>
          <w:tcPr>
            <w:tcW w:w="1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 w:rsidTr="00AD7D00">
        <w:trPr>
          <w:trHeight w:val="30"/>
          <w:tblCellSpacing w:w="0" w:type="auto"/>
        </w:trPr>
        <w:tc>
          <w:tcPr>
            <w:tcW w:w="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mgov - мобильное правительство</w:t>
            </w:r>
          </w:p>
        </w:tc>
        <w:tc>
          <w:tcPr>
            <w:tcW w:w="1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 w:rsidTr="00AD7D00">
        <w:trPr>
          <w:trHeight w:val="30"/>
          <w:tblCellSpacing w:w="0" w:type="auto"/>
        </w:trPr>
        <w:tc>
          <w:tcPr>
            <w:tcW w:w="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 xml:space="preserve">PaaS - Platform as a </w:t>
            </w: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Service</w:t>
            </w:r>
          </w:p>
        </w:tc>
        <w:tc>
          <w:tcPr>
            <w:tcW w:w="1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 w:rsidTr="00AD7D00">
        <w:trPr>
          <w:trHeight w:val="30"/>
          <w:tblCellSpacing w:w="0" w:type="auto"/>
        </w:trPr>
        <w:tc>
          <w:tcPr>
            <w:tcW w:w="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QR-code - Quick Response Code</w:t>
            </w:r>
          </w:p>
        </w:tc>
        <w:tc>
          <w:tcPr>
            <w:tcW w:w="1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 w:rsidTr="00AD7D00">
        <w:trPr>
          <w:trHeight w:val="30"/>
          <w:tblCellSpacing w:w="0" w:type="auto"/>
        </w:trPr>
        <w:tc>
          <w:tcPr>
            <w:tcW w:w="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R&amp;D - Research and Development</w:t>
            </w:r>
          </w:p>
        </w:tc>
        <w:tc>
          <w:tcPr>
            <w:tcW w:w="1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 w:rsidTr="00AD7D00">
        <w:trPr>
          <w:trHeight w:val="30"/>
          <w:tblCellSpacing w:w="0" w:type="auto"/>
        </w:trPr>
        <w:tc>
          <w:tcPr>
            <w:tcW w:w="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SaaS - Software as a Service</w:t>
            </w:r>
          </w:p>
        </w:tc>
        <w:tc>
          <w:tcPr>
            <w:tcW w:w="1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  <w:tr w:rsidR="00CD1B2C" w:rsidRPr="00AD7D00" w:rsidTr="00AD7D00">
        <w:trPr>
          <w:trHeight w:val="30"/>
          <w:tblCellSpacing w:w="0" w:type="auto"/>
        </w:trPr>
        <w:tc>
          <w:tcPr>
            <w:tcW w:w="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4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  <w:color w:val="000000"/>
                <w:sz w:val="20"/>
              </w:rPr>
              <w:t>STEM - S – science, T – technology, E – engineering, M – mathematics</w:t>
            </w:r>
          </w:p>
        </w:tc>
        <w:tc>
          <w:tcPr>
            <w:tcW w:w="19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1B2C" w:rsidRPr="00AD7D00" w:rsidRDefault="00B454B1">
            <w:pPr>
              <w:spacing w:after="0"/>
              <w:rPr>
                <w:rFonts w:ascii="Times New Roman" w:hAnsi="Times New Roman" w:cs="Times New Roman"/>
              </w:rPr>
            </w:pPr>
            <w:r w:rsidRPr="00AD7D00">
              <w:rPr>
                <w:rFonts w:ascii="Times New Roman" w:hAnsi="Times New Roman" w:cs="Times New Roman"/>
              </w:rPr>
              <w:br/>
            </w:r>
          </w:p>
        </w:tc>
      </w:tr>
    </w:tbl>
    <w:p w:rsidR="00CD1B2C" w:rsidRPr="00AD7D00" w:rsidRDefault="00B454B1">
      <w:pPr>
        <w:spacing w:after="0"/>
        <w:rPr>
          <w:rFonts w:ascii="Times New Roman" w:hAnsi="Times New Roman" w:cs="Times New Roman"/>
        </w:rPr>
      </w:pPr>
      <w:r w:rsidRPr="00AD7D00">
        <w:rPr>
          <w:rFonts w:ascii="Times New Roman" w:hAnsi="Times New Roman" w:cs="Times New Roman"/>
        </w:rPr>
        <w:br/>
      </w:r>
    </w:p>
    <w:p w:rsidR="00CD1B2C" w:rsidRPr="00AD7D00" w:rsidRDefault="00B454B1" w:rsidP="00A419E3">
      <w:pPr>
        <w:spacing w:after="0"/>
        <w:rPr>
          <w:rFonts w:ascii="Times New Roman" w:hAnsi="Times New Roman" w:cs="Times New Roman"/>
          <w:lang w:val="ru-RU"/>
        </w:rPr>
      </w:pPr>
      <w:r w:rsidRPr="00AD7D00">
        <w:rPr>
          <w:rFonts w:ascii="Times New Roman" w:hAnsi="Times New Roman" w:cs="Times New Roman"/>
        </w:rPr>
        <w:br/>
      </w:r>
      <w:r w:rsidRPr="00AD7D00">
        <w:rPr>
          <w:rFonts w:ascii="Times New Roman" w:hAnsi="Times New Roman" w:cs="Times New Roman"/>
        </w:rPr>
        <w:br/>
      </w:r>
    </w:p>
    <w:sectPr w:rsidR="00CD1B2C" w:rsidRPr="00AD7D00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1B2C"/>
    <w:rsid w:val="00540BEB"/>
    <w:rsid w:val="00A419E3"/>
    <w:rsid w:val="00AD7D00"/>
    <w:rsid w:val="00B454B1"/>
    <w:rsid w:val="00CD1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A41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419E3"/>
    <w:rPr>
      <w:rFonts w:ascii="Tahoma" w:eastAsia="Consola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84</Pages>
  <Words>29733</Words>
  <Characters>169481</Characters>
  <Application>Microsoft Office Word</Application>
  <DocSecurity>0</DocSecurity>
  <Lines>1412</Lines>
  <Paragraphs>397</Paragraphs>
  <ScaleCrop>false</ScaleCrop>
  <Company/>
  <LinksUpToDate>false</LinksUpToDate>
  <CharactersWithSpaces>198817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Сейдалин_Т</cp:lastModifiedBy>
  <cp:revision>5</cp:revision>
  <dcterms:created xsi:type="dcterms:W3CDTF">2018-10-26T06:30:00Z</dcterms:created>
  <dcterms:modified xsi:type="dcterms:W3CDTF">2018-10-26T06:31:00Z</dcterms:modified>
</cp:coreProperties>
</file>